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黑体" w:hAnsi="黑体" w:eastAsia="黑体"/>
          <w:sz w:val="36"/>
          <w:szCs w:val="36"/>
        </w:rPr>
      </w:pPr>
    </w:p>
    <w:p>
      <w:pPr>
        <w:jc w:val="center"/>
        <w:rPr>
          <w:rFonts w:ascii="黑体" w:hAnsi="黑体" w:eastAsia="黑体"/>
          <w:sz w:val="36"/>
          <w:szCs w:val="36"/>
        </w:rPr>
      </w:pPr>
      <w:r>
        <w:rPr>
          <w:rFonts w:hint="eastAsia" w:ascii="黑体" w:hAnsi="黑体" w:eastAsia="黑体"/>
          <w:sz w:val="36"/>
          <w:szCs w:val="36"/>
        </w:rPr>
        <w:t>赤峰市地方法人银行业金融机构风险早期干预框架实施办法（试行）</w:t>
      </w:r>
      <w:r>
        <w:rPr>
          <w:rFonts w:hint="eastAsia" w:ascii="黑体" w:hAnsi="黑体" w:eastAsia="黑体"/>
          <w:sz w:val="36"/>
          <w:szCs w:val="36"/>
          <w:lang w:eastAsia="zh-CN"/>
        </w:rPr>
        <w:t>（征求意见稿）</w:t>
      </w:r>
    </w:p>
    <w:p>
      <w:pPr>
        <w:ind w:firstLine="600" w:firstLineChars="200"/>
        <w:rPr>
          <w:rFonts w:ascii="仿宋_GB2312" w:eastAsia="仿宋_GB2312"/>
          <w:sz w:val="30"/>
          <w:szCs w:val="30"/>
        </w:rPr>
      </w:pPr>
    </w:p>
    <w:p>
      <w:pPr>
        <w:ind w:firstLine="600" w:firstLineChars="200"/>
        <w:rPr>
          <w:rFonts w:ascii="仿宋_GB2312" w:eastAsia="仿宋_GB2312"/>
          <w:sz w:val="30"/>
          <w:szCs w:val="30"/>
        </w:rPr>
      </w:pPr>
      <w:r>
        <w:rPr>
          <w:rFonts w:hint="eastAsia" w:ascii="仿宋_GB2312" w:eastAsia="仿宋_GB2312"/>
          <w:sz w:val="30"/>
          <w:szCs w:val="30"/>
        </w:rPr>
        <w:t>为提升主动防范和化解金融风险的科学性和有效性，通过对金融机构经营指标的现场和非现场监测、分析，将风险防范关口前移，在风险形成的早期阶段及时采取措施，制止、限制和纠正金融机构的经营行为，避免潜在风险演变为实质风险，以实现金融风险的早识别、早发现、早预警、早处置，有效维护地区金融稳定，根据《中华人民共和国中国人民银行法》《存款保险条例》等法律法规，制定本办法。</w:t>
      </w:r>
    </w:p>
    <w:p>
      <w:pPr>
        <w:ind w:firstLine="600" w:firstLineChars="200"/>
        <w:rPr>
          <w:rFonts w:ascii="黑体" w:hAnsi="黑体" w:eastAsia="黑体"/>
          <w:sz w:val="30"/>
          <w:szCs w:val="30"/>
        </w:rPr>
      </w:pPr>
      <w:r>
        <w:rPr>
          <w:rFonts w:hint="eastAsia" w:ascii="黑体" w:hAnsi="黑体" w:eastAsia="黑体"/>
          <w:sz w:val="30"/>
          <w:szCs w:val="30"/>
        </w:rPr>
        <w:t>一、工作目标和工作方法</w:t>
      </w:r>
    </w:p>
    <w:p>
      <w:pPr>
        <w:ind w:firstLine="602" w:firstLineChars="200"/>
        <w:rPr>
          <w:rFonts w:ascii="仿宋_GB2312" w:eastAsia="仿宋_GB2312"/>
          <w:b/>
          <w:sz w:val="30"/>
          <w:szCs w:val="30"/>
        </w:rPr>
      </w:pPr>
      <w:r>
        <w:rPr>
          <w:rFonts w:hint="eastAsia" w:ascii="仿宋_GB2312" w:eastAsia="仿宋_GB2312"/>
          <w:b/>
          <w:sz w:val="30"/>
          <w:szCs w:val="30"/>
        </w:rPr>
        <w:t>（一）工作目标</w:t>
      </w:r>
    </w:p>
    <w:p>
      <w:pPr>
        <w:ind w:firstLine="600" w:firstLineChars="200"/>
        <w:rPr>
          <w:rFonts w:ascii="仿宋_GB2312" w:eastAsia="仿宋_GB2312"/>
          <w:sz w:val="30"/>
          <w:szCs w:val="30"/>
        </w:rPr>
      </w:pPr>
      <w:r>
        <w:rPr>
          <w:rFonts w:hint="eastAsia" w:ascii="仿宋_GB2312" w:eastAsia="仿宋_GB2312"/>
          <w:sz w:val="30"/>
          <w:szCs w:val="30"/>
        </w:rPr>
        <w:t>通过对赤峰市辖内地方法人银行业金融机构的经营和风险情况进行监测、分析、研判，及时发现指标变动异常、存在风险隐患地方法人银行业金融机构，深入了解真实经营状况、指标变动原因，视情况采取有效的干预措施，有效督促地方法人银行业金融机构全面客观分析原因、开展工作整改，及早纠正经营中的潜在风险，防止风险隐患由小拖大，避免出现新的高风险机构，实现金融风险的早识别、早发现、早预警、早处置，有效维护地区金融稳定。</w:t>
      </w:r>
    </w:p>
    <w:p>
      <w:pPr>
        <w:ind w:firstLine="602" w:firstLineChars="200"/>
        <w:rPr>
          <w:rFonts w:ascii="仿宋_GB2312" w:eastAsia="仿宋_GB2312"/>
          <w:b/>
          <w:sz w:val="30"/>
          <w:szCs w:val="30"/>
        </w:rPr>
      </w:pPr>
      <w:r>
        <w:rPr>
          <w:rFonts w:hint="eastAsia" w:ascii="仿宋_GB2312" w:eastAsia="仿宋_GB2312"/>
          <w:b/>
          <w:sz w:val="30"/>
          <w:szCs w:val="30"/>
        </w:rPr>
        <w:t>（二）工作方法</w:t>
      </w:r>
    </w:p>
    <w:p>
      <w:pPr>
        <w:ind w:firstLine="600" w:firstLineChars="200"/>
        <w:rPr>
          <w:rFonts w:ascii="仿宋_GB2312" w:eastAsia="仿宋_GB2312"/>
          <w:sz w:val="30"/>
          <w:szCs w:val="30"/>
        </w:rPr>
      </w:pPr>
      <w:r>
        <w:rPr>
          <w:rFonts w:hint="eastAsia" w:ascii="仿宋_GB2312" w:eastAsia="仿宋_GB2312"/>
          <w:sz w:val="30"/>
          <w:szCs w:val="30"/>
        </w:rPr>
        <w:t>1、早识别。通过金融机构资产负债、经营结构、风险状况、审慎监管等领域的经营指标，建立多点触发、整体反映的预警监测指标体系并计算得分，通过得分情况识别出金融机构可能存在的经营风险，做到风险早识别。</w:t>
      </w:r>
    </w:p>
    <w:p>
      <w:pPr>
        <w:ind w:firstLine="600" w:firstLineChars="200"/>
        <w:rPr>
          <w:rFonts w:ascii="仿宋_GB2312" w:eastAsia="仿宋_GB2312"/>
          <w:sz w:val="30"/>
          <w:szCs w:val="30"/>
        </w:rPr>
      </w:pPr>
      <w:r>
        <w:rPr>
          <w:rFonts w:hint="eastAsia" w:ascii="仿宋_GB2312" w:eastAsia="仿宋_GB2312"/>
          <w:sz w:val="30"/>
          <w:szCs w:val="30"/>
        </w:rPr>
        <w:t>2、早发现。根据预警监测指标体系得分情况，要求金融机构全面客观分析导致经营指标变化的原因，并研判风险变化趋势，做到风险早发现。</w:t>
      </w:r>
    </w:p>
    <w:p>
      <w:pPr>
        <w:ind w:firstLine="600" w:firstLineChars="200"/>
        <w:rPr>
          <w:rFonts w:ascii="仿宋_GB2312" w:eastAsia="仿宋_GB2312"/>
          <w:sz w:val="30"/>
          <w:szCs w:val="30"/>
        </w:rPr>
      </w:pPr>
      <w:r>
        <w:rPr>
          <w:rFonts w:hint="eastAsia" w:ascii="仿宋_GB2312" w:eastAsia="仿宋_GB2312"/>
          <w:sz w:val="30"/>
          <w:szCs w:val="30"/>
        </w:rPr>
        <w:t>3、早预警。针对预警监测指标体系得分较低、或经过研判存在一定风险隐患的机构，对机构进行约见谈话、风险提示，做到风险早预警。</w:t>
      </w:r>
    </w:p>
    <w:p>
      <w:pPr>
        <w:ind w:firstLine="600" w:firstLineChars="200"/>
        <w:rPr>
          <w:rFonts w:ascii="仿宋_GB2312" w:eastAsia="仿宋_GB2312"/>
          <w:sz w:val="30"/>
          <w:szCs w:val="30"/>
        </w:rPr>
      </w:pPr>
      <w:r>
        <w:rPr>
          <w:rFonts w:hint="eastAsia" w:ascii="仿宋_GB2312" w:eastAsia="仿宋_GB2312"/>
          <w:sz w:val="30"/>
          <w:szCs w:val="30"/>
        </w:rPr>
        <w:t>4、早处置。针对经过预警后，经营状况和风险状况没有好转、预警监测指标体系得分继续降低的机构，要求机构制定整改措施、明确整改目标，并督促金融机构开展整改，做到风险早处置。</w:t>
      </w:r>
    </w:p>
    <w:p>
      <w:pPr>
        <w:ind w:firstLine="600" w:firstLineChars="200"/>
        <w:rPr>
          <w:rFonts w:ascii="黑体" w:hAnsi="黑体" w:eastAsia="黑体"/>
          <w:sz w:val="30"/>
          <w:szCs w:val="30"/>
        </w:rPr>
      </w:pPr>
      <w:r>
        <w:rPr>
          <w:rFonts w:hint="eastAsia" w:ascii="黑体" w:hAnsi="黑体" w:eastAsia="黑体"/>
          <w:sz w:val="30"/>
          <w:szCs w:val="30"/>
        </w:rPr>
        <w:t>二、适用范围</w:t>
      </w:r>
    </w:p>
    <w:p>
      <w:pPr>
        <w:ind w:firstLine="600" w:firstLineChars="200"/>
        <w:rPr>
          <w:rFonts w:ascii="仿宋_GB2312" w:eastAsia="仿宋_GB2312"/>
          <w:sz w:val="30"/>
          <w:szCs w:val="30"/>
        </w:rPr>
      </w:pPr>
      <w:r>
        <w:rPr>
          <w:rFonts w:hint="eastAsia" w:ascii="仿宋_GB2312" w:eastAsia="仿宋_GB2312"/>
          <w:sz w:val="30"/>
          <w:szCs w:val="30"/>
        </w:rPr>
        <w:t>本办法适用于注册地位于赤峰市辖内、未触发《存款保险早期纠正操作指引（试行）》中应实施风险警示和早期纠正情形的地方法人银行业金融机构。</w:t>
      </w:r>
    </w:p>
    <w:p>
      <w:pPr>
        <w:ind w:firstLine="600" w:firstLineChars="200"/>
        <w:rPr>
          <w:rFonts w:ascii="黑体" w:hAnsi="黑体" w:eastAsia="黑体"/>
          <w:sz w:val="30"/>
          <w:szCs w:val="30"/>
        </w:rPr>
      </w:pPr>
      <w:r>
        <w:rPr>
          <w:rFonts w:hint="eastAsia" w:ascii="黑体" w:hAnsi="黑体" w:eastAsia="黑体"/>
          <w:sz w:val="30"/>
          <w:szCs w:val="30"/>
        </w:rPr>
        <w:t>三、风险预警监测指标体系</w:t>
      </w:r>
    </w:p>
    <w:p>
      <w:pPr>
        <w:ind w:firstLine="600" w:firstLineChars="200"/>
        <w:rPr>
          <w:rFonts w:ascii="仿宋_GB2312" w:eastAsia="仿宋_GB2312"/>
          <w:sz w:val="30"/>
          <w:szCs w:val="30"/>
        </w:rPr>
      </w:pPr>
      <w:r>
        <w:rPr>
          <w:rFonts w:hint="eastAsia" w:ascii="仿宋_GB2312" w:eastAsia="仿宋_GB2312"/>
          <w:sz w:val="30"/>
          <w:szCs w:val="30"/>
        </w:rPr>
        <w:t>预警监测指标体系包括7项一级指标和16项二级指标，每个指标赋予不同的权重，根据每项指标的指标值，设定得分范围，计算得分，满分100分。</w:t>
      </w:r>
    </w:p>
    <w:p>
      <w:pPr>
        <w:ind w:firstLine="600" w:firstLineChars="200"/>
        <w:rPr>
          <w:rFonts w:ascii="仿宋_GB2312" w:eastAsia="仿宋_GB2312"/>
          <w:sz w:val="30"/>
          <w:szCs w:val="30"/>
        </w:rPr>
      </w:pPr>
      <w:r>
        <w:rPr>
          <w:rFonts w:hint="eastAsia" w:ascii="仿宋_GB2312" w:eastAsia="仿宋_GB2312"/>
          <w:sz w:val="30"/>
          <w:szCs w:val="30"/>
        </w:rPr>
        <w:t>预警监测指标体系中各项指标按照中国人民银行央行金融机构评级口径计算。</w:t>
      </w:r>
    </w:p>
    <w:p>
      <w:pPr>
        <w:ind w:firstLine="602" w:firstLineChars="200"/>
        <w:rPr>
          <w:rFonts w:ascii="仿宋_GB2312" w:eastAsia="仿宋_GB2312"/>
          <w:b/>
          <w:sz w:val="30"/>
          <w:szCs w:val="30"/>
        </w:rPr>
      </w:pPr>
      <w:r>
        <w:rPr>
          <w:rFonts w:hint="eastAsia" w:ascii="仿宋_GB2312" w:eastAsia="仿宋_GB2312"/>
          <w:b/>
          <w:sz w:val="30"/>
          <w:szCs w:val="30"/>
        </w:rPr>
        <w:t>（一）预警监测指标及权重</w:t>
      </w:r>
    </w:p>
    <w:p>
      <w:pPr>
        <w:ind w:firstLine="600" w:firstLineChars="200"/>
        <w:rPr>
          <w:rFonts w:ascii="仿宋_GB2312" w:eastAsia="仿宋_GB2312"/>
          <w:sz w:val="30"/>
          <w:szCs w:val="30"/>
        </w:rPr>
      </w:pPr>
      <w:r>
        <w:rPr>
          <w:rFonts w:hint="eastAsia" w:ascii="仿宋_GB2312" w:eastAsia="仿宋_GB2312"/>
          <w:sz w:val="30"/>
          <w:szCs w:val="30"/>
        </w:rPr>
        <w:t>1、集中度指标：总权重为11%，包含单一客户贷款集中度和单一集团客户授信集中度两项指标，权重分别为6%和5%。</w:t>
      </w:r>
    </w:p>
    <w:p>
      <w:pPr>
        <w:ind w:firstLine="600" w:firstLineChars="200"/>
        <w:rPr>
          <w:rFonts w:ascii="仿宋_GB2312" w:eastAsia="仿宋_GB2312"/>
          <w:sz w:val="30"/>
          <w:szCs w:val="30"/>
        </w:rPr>
      </w:pPr>
      <w:r>
        <w:rPr>
          <w:rFonts w:hint="eastAsia" w:ascii="仿宋_GB2312" w:eastAsia="仿宋_GB2312"/>
          <w:sz w:val="30"/>
          <w:szCs w:val="30"/>
        </w:rPr>
        <w:t>2、资产指标：总权重为11%，包含贷款增速(环比）和关注类贷款增速（环比），权重分别为6%和5%。</w:t>
      </w:r>
    </w:p>
    <w:p>
      <w:pPr>
        <w:ind w:firstLine="600" w:firstLineChars="200"/>
        <w:rPr>
          <w:rFonts w:ascii="仿宋_GB2312" w:eastAsia="仿宋_GB2312"/>
          <w:sz w:val="30"/>
          <w:szCs w:val="30"/>
        </w:rPr>
      </w:pPr>
      <w:r>
        <w:rPr>
          <w:rFonts w:hint="eastAsia" w:ascii="仿宋_GB2312" w:eastAsia="仿宋_GB2312"/>
          <w:sz w:val="30"/>
          <w:szCs w:val="30"/>
        </w:rPr>
        <w:t>3、盈利性指标：总权重为17%，包含贷款利息收入同比增速、净息差同比增速和利息回收率，权重分别为6%、5%和6%。</w:t>
      </w:r>
    </w:p>
    <w:p>
      <w:pPr>
        <w:ind w:firstLine="600" w:firstLineChars="200"/>
        <w:rPr>
          <w:rFonts w:ascii="仿宋_GB2312" w:eastAsia="仿宋_GB2312"/>
          <w:sz w:val="30"/>
          <w:szCs w:val="30"/>
        </w:rPr>
      </w:pPr>
      <w:r>
        <w:rPr>
          <w:rFonts w:hint="eastAsia" w:ascii="仿宋_GB2312" w:eastAsia="仿宋_GB2312"/>
          <w:sz w:val="30"/>
          <w:szCs w:val="30"/>
        </w:rPr>
        <w:t>4、资产结构：总权重为23%，包含贷款占总资产比重增幅、抵债资产占总资产比重、逾期贷款环比增幅和其他应收款占总资产比重，权重分别为5%、6%、6%和6%。</w:t>
      </w:r>
    </w:p>
    <w:p>
      <w:pPr>
        <w:ind w:firstLine="600" w:firstLineChars="200"/>
        <w:rPr>
          <w:rFonts w:ascii="仿宋_GB2312" w:eastAsia="仿宋_GB2312"/>
          <w:sz w:val="30"/>
          <w:szCs w:val="30"/>
        </w:rPr>
      </w:pPr>
      <w:r>
        <w:rPr>
          <w:rFonts w:hint="eastAsia" w:ascii="仿宋_GB2312" w:eastAsia="仿宋_GB2312"/>
          <w:sz w:val="30"/>
          <w:szCs w:val="30"/>
        </w:rPr>
        <w:t>5、流动性指标：总权重为18%，包含全部同业融入占总负债比重、全部同业资产占总资产比重和最大单家同业融出比例，权重均为6%。</w:t>
      </w:r>
    </w:p>
    <w:p>
      <w:pPr>
        <w:ind w:firstLine="600" w:firstLineChars="200"/>
        <w:rPr>
          <w:rFonts w:ascii="仿宋_GB2312" w:eastAsia="仿宋_GB2312"/>
          <w:sz w:val="30"/>
          <w:szCs w:val="30"/>
        </w:rPr>
      </w:pPr>
      <w:r>
        <w:rPr>
          <w:rFonts w:hint="eastAsia" w:ascii="仿宋_GB2312" w:eastAsia="仿宋_GB2312"/>
          <w:sz w:val="30"/>
          <w:szCs w:val="30"/>
        </w:rPr>
        <w:t>6、央行评级指标：权重为10%，为在不考虑红线指标调整情况下，央行评级结果与上季度相比变动级别。</w:t>
      </w:r>
    </w:p>
    <w:p>
      <w:pPr>
        <w:ind w:firstLine="600" w:firstLineChars="200"/>
        <w:rPr>
          <w:rFonts w:ascii="仿宋_GB2312" w:eastAsia="仿宋_GB2312"/>
          <w:sz w:val="30"/>
          <w:szCs w:val="30"/>
        </w:rPr>
      </w:pPr>
      <w:r>
        <w:rPr>
          <w:rFonts w:hint="eastAsia" w:ascii="仿宋_GB2312" w:eastAsia="仿宋_GB2312"/>
          <w:sz w:val="30"/>
          <w:szCs w:val="30"/>
        </w:rPr>
        <w:t>7、核查情况指标：权重为10%，为资产质量核查数据与账面数据的偏离度。</w:t>
      </w:r>
    </w:p>
    <w:p>
      <w:pPr>
        <w:ind w:firstLine="602" w:firstLineChars="200"/>
        <w:rPr>
          <w:rFonts w:ascii="仿宋_GB2312" w:eastAsia="仿宋_GB2312"/>
          <w:b/>
          <w:sz w:val="30"/>
          <w:szCs w:val="30"/>
        </w:rPr>
      </w:pPr>
      <w:r>
        <w:rPr>
          <w:rFonts w:hint="eastAsia" w:ascii="仿宋_GB2312" w:eastAsia="仿宋_GB2312"/>
          <w:b/>
          <w:sz w:val="30"/>
          <w:szCs w:val="30"/>
        </w:rPr>
        <w:t>（二）得分标准</w:t>
      </w:r>
    </w:p>
    <w:p>
      <w:pPr>
        <w:jc w:val="center"/>
        <w:rPr>
          <w:rFonts w:ascii="仿宋_GB2312" w:eastAsia="仿宋_GB2312"/>
          <w:sz w:val="30"/>
          <w:szCs w:val="30"/>
        </w:rPr>
      </w:pPr>
      <w:r>
        <w:rPr>
          <w:rFonts w:hint="eastAsia" w:ascii="仿宋_GB2312" w:eastAsia="仿宋_GB2312"/>
          <w:sz w:val="30"/>
          <w:szCs w:val="30"/>
        </w:rPr>
        <w:t>表1：预警监测指标体系及得分标准</w:t>
      </w:r>
    </w:p>
    <w:tbl>
      <w:tblPr>
        <w:tblStyle w:val="6"/>
        <w:tblW w:w="8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23"/>
        <w:gridCol w:w="1491"/>
        <w:gridCol w:w="914"/>
        <w:gridCol w:w="41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1" w:hRule="atLeast"/>
        </w:trPr>
        <w:tc>
          <w:tcPr>
            <w:tcW w:w="1523" w:type="dxa"/>
            <w:tcBorders>
              <w:top w:val="single" w:color="auto" w:sz="12"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30"/>
              </w:rPr>
            </w:pPr>
            <w:r>
              <w:rPr>
                <w:rFonts w:hint="eastAsia" w:ascii="仿宋_GB2312" w:hAnsi="宋体" w:eastAsia="仿宋_GB2312" w:cs="宋体"/>
                <w:color w:val="000000"/>
                <w:kern w:val="0"/>
                <w:sz w:val="24"/>
                <w:szCs w:val="30"/>
              </w:rPr>
              <w:t>一级指标</w:t>
            </w:r>
          </w:p>
        </w:tc>
        <w:tc>
          <w:tcPr>
            <w:tcW w:w="1491" w:type="dxa"/>
            <w:tcBorders>
              <w:top w:val="single" w:color="auto" w:sz="12"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30"/>
              </w:rPr>
            </w:pPr>
            <w:r>
              <w:rPr>
                <w:rFonts w:hint="eastAsia" w:ascii="仿宋_GB2312" w:hAnsi="宋体" w:eastAsia="仿宋_GB2312" w:cs="宋体"/>
                <w:color w:val="000000"/>
                <w:kern w:val="0"/>
                <w:sz w:val="24"/>
                <w:szCs w:val="30"/>
              </w:rPr>
              <w:t>二级指标</w:t>
            </w:r>
          </w:p>
        </w:tc>
        <w:tc>
          <w:tcPr>
            <w:tcW w:w="914" w:type="dxa"/>
            <w:tcBorders>
              <w:top w:val="single" w:color="auto" w:sz="12"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30"/>
              </w:rPr>
            </w:pPr>
            <w:r>
              <w:rPr>
                <w:rFonts w:hint="eastAsia" w:ascii="仿宋_GB2312" w:hAnsi="宋体" w:eastAsia="仿宋_GB2312" w:cs="宋体"/>
                <w:color w:val="000000"/>
                <w:kern w:val="0"/>
                <w:sz w:val="24"/>
                <w:szCs w:val="30"/>
              </w:rPr>
              <w:t>权重</w:t>
            </w:r>
          </w:p>
        </w:tc>
        <w:tc>
          <w:tcPr>
            <w:tcW w:w="4172" w:type="dxa"/>
            <w:tcBorders>
              <w:top w:val="single" w:color="auto" w:sz="12" w:space="0"/>
              <w:left w:val="nil"/>
              <w:bottom w:val="single" w:color="auto" w:sz="4" w:space="0"/>
            </w:tcBorders>
            <w:vAlign w:val="top"/>
          </w:tcPr>
          <w:p>
            <w:pPr>
              <w:widowControl/>
              <w:jc w:val="center"/>
              <w:rPr>
                <w:rFonts w:ascii="仿宋_GB2312" w:hAnsi="宋体" w:eastAsia="仿宋_GB2312" w:cs="宋体"/>
                <w:color w:val="000000"/>
                <w:kern w:val="0"/>
                <w:sz w:val="24"/>
                <w:szCs w:val="30"/>
              </w:rPr>
            </w:pPr>
            <w:r>
              <w:rPr>
                <w:rFonts w:hint="eastAsia" w:ascii="仿宋_GB2312" w:hAnsi="宋体" w:eastAsia="仿宋_GB2312" w:cs="宋体"/>
                <w:color w:val="000000"/>
                <w:kern w:val="0"/>
                <w:sz w:val="24"/>
                <w:szCs w:val="30"/>
              </w:rPr>
              <w:t>得分标准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6" w:hRule="atLeast"/>
        </w:trPr>
        <w:tc>
          <w:tcPr>
            <w:tcW w:w="1523" w:type="dxa"/>
            <w:vMerge w:val="restart"/>
            <w:tcBorders>
              <w:top w:val="nil"/>
              <w:bottom w:val="single" w:color="auto" w:sz="4" w:space="0"/>
              <w:right w:val="single" w:color="auto" w:sz="4" w:space="0"/>
            </w:tcBorders>
            <w:vAlign w:val="center"/>
          </w:tcPr>
          <w:p>
            <w:pPr>
              <w:widowControl/>
              <w:jc w:val="center"/>
              <w:rPr>
                <w:rFonts w:ascii="仿宋_GB2312" w:hAnsi="仿宋" w:eastAsia="仿宋_GB2312" w:cs="宋体"/>
                <w:color w:val="000000"/>
                <w:kern w:val="0"/>
                <w:sz w:val="24"/>
                <w:szCs w:val="30"/>
              </w:rPr>
            </w:pPr>
            <w:r>
              <w:rPr>
                <w:rFonts w:hint="eastAsia" w:ascii="仿宋_GB2312" w:hAnsi="仿宋" w:eastAsia="仿宋_GB2312" w:cs="宋体"/>
                <w:color w:val="000000"/>
                <w:kern w:val="0"/>
                <w:sz w:val="24"/>
                <w:szCs w:val="30"/>
              </w:rPr>
              <w:t>集中度</w:t>
            </w:r>
          </w:p>
        </w:tc>
        <w:tc>
          <w:tcPr>
            <w:tcW w:w="1491" w:type="dxa"/>
            <w:tcBorders>
              <w:top w:val="nil"/>
              <w:left w:val="nil"/>
              <w:bottom w:val="single" w:color="auto" w:sz="4" w:space="0"/>
              <w:right w:val="single" w:color="auto" w:sz="4" w:space="0"/>
            </w:tcBorders>
            <w:vAlign w:val="center"/>
          </w:tcPr>
          <w:p>
            <w:pPr>
              <w:widowControl/>
              <w:jc w:val="center"/>
              <w:rPr>
                <w:rFonts w:ascii="仿宋_GB2312" w:hAnsi="仿宋" w:eastAsia="仿宋_GB2312" w:cs="宋体"/>
                <w:color w:val="000000"/>
                <w:kern w:val="0"/>
                <w:sz w:val="24"/>
                <w:szCs w:val="30"/>
              </w:rPr>
            </w:pPr>
            <w:r>
              <w:rPr>
                <w:rFonts w:hint="eastAsia" w:ascii="仿宋_GB2312" w:hAnsi="仿宋" w:eastAsia="仿宋_GB2312" w:cs="宋体"/>
                <w:color w:val="000000"/>
                <w:kern w:val="0"/>
                <w:sz w:val="24"/>
                <w:szCs w:val="30"/>
              </w:rPr>
              <w:t>单一客户贷款集中度</w:t>
            </w:r>
          </w:p>
        </w:tc>
        <w:tc>
          <w:tcPr>
            <w:tcW w:w="914" w:type="dxa"/>
            <w:tcBorders>
              <w:top w:val="nil"/>
              <w:left w:val="nil"/>
              <w:bottom w:val="single" w:color="auto" w:sz="4" w:space="0"/>
              <w:right w:val="single" w:color="auto" w:sz="4" w:space="0"/>
            </w:tcBorders>
            <w:vAlign w:val="center"/>
          </w:tcPr>
          <w:p>
            <w:pPr>
              <w:widowControl/>
              <w:jc w:val="right"/>
              <w:rPr>
                <w:rFonts w:ascii="仿宋_GB2312" w:hAnsi="仿宋" w:eastAsia="仿宋_GB2312" w:cs="宋体"/>
                <w:color w:val="000000"/>
                <w:kern w:val="0"/>
                <w:sz w:val="24"/>
                <w:szCs w:val="30"/>
              </w:rPr>
            </w:pPr>
            <w:r>
              <w:rPr>
                <w:rFonts w:hint="eastAsia" w:ascii="仿宋_GB2312" w:hAnsi="仿宋" w:eastAsia="仿宋_GB2312" w:cs="宋体"/>
                <w:color w:val="000000"/>
                <w:kern w:val="0"/>
                <w:sz w:val="24"/>
                <w:szCs w:val="30"/>
              </w:rPr>
              <w:t>6</w:t>
            </w:r>
          </w:p>
        </w:tc>
        <w:tc>
          <w:tcPr>
            <w:tcW w:w="4172" w:type="dxa"/>
            <w:tcBorders>
              <w:top w:val="nil"/>
              <w:left w:val="nil"/>
              <w:bottom w:val="single" w:color="auto" w:sz="4" w:space="0"/>
            </w:tcBorders>
            <w:vAlign w:val="top"/>
          </w:tcPr>
          <w:p>
            <w:pPr>
              <w:widowControl/>
              <w:rPr>
                <w:rFonts w:ascii="仿宋_GB2312" w:hAnsi="宋体" w:eastAsia="仿宋_GB2312" w:cs="宋体"/>
                <w:color w:val="000000"/>
                <w:kern w:val="0"/>
                <w:sz w:val="24"/>
                <w:szCs w:val="30"/>
              </w:rPr>
            </w:pPr>
            <w:r>
              <w:rPr>
                <w:rFonts w:hint="eastAsia" w:ascii="仿宋_GB2312" w:hAnsi="宋体" w:eastAsia="仿宋_GB2312" w:cs="宋体"/>
                <w:color w:val="000000"/>
                <w:kern w:val="0"/>
                <w:sz w:val="24"/>
                <w:szCs w:val="30"/>
              </w:rPr>
              <w:t>指标值≤10%，得6分；10%&lt;指标值≤20%，得4分；20%&lt;指标值≤50%，得3分；指标值&gt;50%，得0分。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6" w:hRule="atLeast"/>
        </w:trPr>
        <w:tc>
          <w:tcPr>
            <w:tcW w:w="1523" w:type="dxa"/>
            <w:vMerge w:val="continue"/>
            <w:tcBorders>
              <w:top w:val="nil"/>
              <w:bottom w:val="single" w:color="auto" w:sz="4" w:space="0"/>
              <w:right w:val="single" w:color="auto" w:sz="4" w:space="0"/>
            </w:tcBorders>
            <w:vAlign w:val="center"/>
          </w:tcPr>
          <w:p>
            <w:pPr>
              <w:widowControl/>
              <w:jc w:val="left"/>
              <w:rPr>
                <w:rFonts w:ascii="仿宋_GB2312" w:hAnsi="仿宋" w:eastAsia="仿宋_GB2312" w:cs="宋体"/>
                <w:color w:val="000000"/>
                <w:kern w:val="0"/>
                <w:sz w:val="24"/>
                <w:szCs w:val="30"/>
              </w:rPr>
            </w:pPr>
          </w:p>
        </w:tc>
        <w:tc>
          <w:tcPr>
            <w:tcW w:w="1491" w:type="dxa"/>
            <w:tcBorders>
              <w:top w:val="nil"/>
              <w:left w:val="nil"/>
              <w:bottom w:val="single" w:color="auto" w:sz="4" w:space="0"/>
              <w:right w:val="single" w:color="auto" w:sz="4" w:space="0"/>
            </w:tcBorders>
            <w:vAlign w:val="center"/>
          </w:tcPr>
          <w:p>
            <w:pPr>
              <w:widowControl/>
              <w:jc w:val="center"/>
              <w:rPr>
                <w:rFonts w:ascii="仿宋_GB2312" w:hAnsi="仿宋" w:eastAsia="仿宋_GB2312" w:cs="宋体"/>
                <w:color w:val="000000"/>
                <w:kern w:val="0"/>
                <w:sz w:val="24"/>
                <w:szCs w:val="30"/>
              </w:rPr>
            </w:pPr>
            <w:r>
              <w:rPr>
                <w:rFonts w:hint="eastAsia" w:ascii="仿宋_GB2312" w:hAnsi="仿宋" w:eastAsia="仿宋_GB2312" w:cs="宋体"/>
                <w:color w:val="000000"/>
                <w:kern w:val="0"/>
                <w:sz w:val="24"/>
                <w:szCs w:val="30"/>
              </w:rPr>
              <w:t>单一集团客户授信集中度</w:t>
            </w:r>
          </w:p>
        </w:tc>
        <w:tc>
          <w:tcPr>
            <w:tcW w:w="914" w:type="dxa"/>
            <w:tcBorders>
              <w:top w:val="nil"/>
              <w:left w:val="nil"/>
              <w:bottom w:val="single" w:color="auto" w:sz="4" w:space="0"/>
              <w:right w:val="single" w:color="auto" w:sz="4" w:space="0"/>
            </w:tcBorders>
            <w:vAlign w:val="center"/>
          </w:tcPr>
          <w:p>
            <w:pPr>
              <w:widowControl/>
              <w:jc w:val="right"/>
              <w:rPr>
                <w:rFonts w:ascii="仿宋_GB2312" w:hAnsi="仿宋" w:eastAsia="仿宋_GB2312" w:cs="宋体"/>
                <w:color w:val="000000"/>
                <w:kern w:val="0"/>
                <w:sz w:val="24"/>
                <w:szCs w:val="30"/>
              </w:rPr>
            </w:pPr>
            <w:r>
              <w:rPr>
                <w:rFonts w:hint="eastAsia" w:ascii="仿宋_GB2312" w:hAnsi="仿宋" w:eastAsia="仿宋_GB2312" w:cs="宋体"/>
                <w:color w:val="000000"/>
                <w:kern w:val="0"/>
                <w:sz w:val="24"/>
                <w:szCs w:val="30"/>
              </w:rPr>
              <w:t>5</w:t>
            </w:r>
          </w:p>
        </w:tc>
        <w:tc>
          <w:tcPr>
            <w:tcW w:w="4172" w:type="dxa"/>
            <w:tcBorders>
              <w:top w:val="nil"/>
              <w:left w:val="nil"/>
              <w:bottom w:val="single" w:color="auto" w:sz="4" w:space="0"/>
            </w:tcBorders>
            <w:vAlign w:val="top"/>
          </w:tcPr>
          <w:p>
            <w:pPr>
              <w:widowControl/>
              <w:rPr>
                <w:rFonts w:ascii="仿宋_GB2312" w:hAnsi="宋体" w:eastAsia="仿宋_GB2312" w:cs="宋体"/>
                <w:color w:val="000000"/>
                <w:kern w:val="0"/>
                <w:sz w:val="24"/>
                <w:szCs w:val="30"/>
              </w:rPr>
            </w:pPr>
            <w:r>
              <w:rPr>
                <w:rFonts w:hint="eastAsia" w:ascii="仿宋_GB2312" w:hAnsi="宋体" w:eastAsia="仿宋_GB2312" w:cs="宋体"/>
                <w:color w:val="000000"/>
                <w:kern w:val="0"/>
                <w:sz w:val="24"/>
                <w:szCs w:val="30"/>
              </w:rPr>
              <w:t>指标值≤15%，得5分；15%&lt;指标值≤30%，得4分；30%&lt;指标值≤50%，得3分；指标值&gt;50%，得0分。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6" w:hRule="atLeast"/>
        </w:trPr>
        <w:tc>
          <w:tcPr>
            <w:tcW w:w="1523" w:type="dxa"/>
            <w:vMerge w:val="restart"/>
            <w:tcBorders>
              <w:top w:val="nil"/>
              <w:bottom w:val="single" w:color="auto" w:sz="4" w:space="0"/>
              <w:right w:val="single" w:color="auto" w:sz="4" w:space="0"/>
            </w:tcBorders>
            <w:vAlign w:val="center"/>
          </w:tcPr>
          <w:p>
            <w:pPr>
              <w:widowControl/>
              <w:jc w:val="center"/>
              <w:rPr>
                <w:rFonts w:ascii="仿宋_GB2312" w:hAnsi="仿宋" w:eastAsia="仿宋_GB2312" w:cs="宋体"/>
                <w:color w:val="000000"/>
                <w:kern w:val="0"/>
                <w:sz w:val="24"/>
                <w:szCs w:val="30"/>
              </w:rPr>
            </w:pPr>
            <w:r>
              <w:rPr>
                <w:rFonts w:hint="eastAsia" w:ascii="仿宋_GB2312" w:hAnsi="仿宋" w:eastAsia="仿宋_GB2312" w:cs="宋体"/>
                <w:color w:val="000000"/>
                <w:kern w:val="0"/>
                <w:sz w:val="24"/>
                <w:szCs w:val="30"/>
              </w:rPr>
              <w:t>资产指标</w:t>
            </w:r>
          </w:p>
        </w:tc>
        <w:tc>
          <w:tcPr>
            <w:tcW w:w="1491" w:type="dxa"/>
            <w:tcBorders>
              <w:top w:val="nil"/>
              <w:left w:val="nil"/>
              <w:bottom w:val="single" w:color="auto" w:sz="4" w:space="0"/>
              <w:right w:val="single" w:color="auto" w:sz="4" w:space="0"/>
            </w:tcBorders>
            <w:vAlign w:val="center"/>
          </w:tcPr>
          <w:p>
            <w:pPr>
              <w:widowControl/>
              <w:jc w:val="center"/>
              <w:rPr>
                <w:rFonts w:ascii="仿宋_GB2312" w:hAnsi="仿宋" w:eastAsia="仿宋_GB2312" w:cs="宋体"/>
                <w:color w:val="000000"/>
                <w:kern w:val="0"/>
                <w:sz w:val="24"/>
                <w:szCs w:val="30"/>
              </w:rPr>
            </w:pPr>
            <w:r>
              <w:rPr>
                <w:rFonts w:hint="eastAsia" w:ascii="仿宋_GB2312" w:hAnsi="仿宋" w:eastAsia="仿宋_GB2312" w:cs="宋体"/>
                <w:color w:val="000000"/>
                <w:kern w:val="0"/>
                <w:sz w:val="24"/>
                <w:szCs w:val="30"/>
              </w:rPr>
              <w:t>贷款增速(环比）</w:t>
            </w:r>
          </w:p>
        </w:tc>
        <w:tc>
          <w:tcPr>
            <w:tcW w:w="914" w:type="dxa"/>
            <w:tcBorders>
              <w:top w:val="nil"/>
              <w:left w:val="nil"/>
              <w:bottom w:val="single" w:color="auto" w:sz="4" w:space="0"/>
              <w:right w:val="single" w:color="auto" w:sz="4" w:space="0"/>
            </w:tcBorders>
            <w:vAlign w:val="center"/>
          </w:tcPr>
          <w:p>
            <w:pPr>
              <w:widowControl/>
              <w:jc w:val="right"/>
              <w:rPr>
                <w:rFonts w:ascii="仿宋_GB2312" w:hAnsi="仿宋" w:eastAsia="仿宋_GB2312" w:cs="宋体"/>
                <w:color w:val="000000"/>
                <w:kern w:val="0"/>
                <w:sz w:val="24"/>
                <w:szCs w:val="30"/>
              </w:rPr>
            </w:pPr>
            <w:r>
              <w:rPr>
                <w:rFonts w:hint="eastAsia" w:ascii="仿宋_GB2312" w:hAnsi="仿宋" w:eastAsia="仿宋_GB2312" w:cs="宋体"/>
                <w:color w:val="000000"/>
                <w:kern w:val="0"/>
                <w:sz w:val="24"/>
                <w:szCs w:val="30"/>
              </w:rPr>
              <w:t>6</w:t>
            </w:r>
          </w:p>
        </w:tc>
        <w:tc>
          <w:tcPr>
            <w:tcW w:w="4172" w:type="dxa"/>
            <w:tcBorders>
              <w:top w:val="nil"/>
              <w:left w:val="nil"/>
              <w:bottom w:val="single" w:color="auto" w:sz="4" w:space="0"/>
            </w:tcBorders>
            <w:vAlign w:val="top"/>
          </w:tcPr>
          <w:p>
            <w:pPr>
              <w:widowControl/>
              <w:rPr>
                <w:rFonts w:ascii="仿宋_GB2312" w:hAnsi="宋体" w:eastAsia="仿宋_GB2312" w:cs="宋体"/>
                <w:color w:val="000000"/>
                <w:kern w:val="0"/>
                <w:sz w:val="24"/>
                <w:szCs w:val="30"/>
              </w:rPr>
            </w:pPr>
            <w:r>
              <w:rPr>
                <w:rFonts w:hint="eastAsia" w:ascii="仿宋_GB2312" w:hAnsi="宋体" w:eastAsia="仿宋_GB2312" w:cs="宋体"/>
                <w:color w:val="000000"/>
                <w:kern w:val="0"/>
                <w:sz w:val="24"/>
                <w:szCs w:val="30"/>
              </w:rPr>
              <w:t>指标值≤20%，得6分；20%&lt;指标值≤40%，得4分；40%&lt;指标值≤60%，得3分；指标值&gt;60%，得0分。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6" w:hRule="atLeast"/>
        </w:trPr>
        <w:tc>
          <w:tcPr>
            <w:tcW w:w="1523" w:type="dxa"/>
            <w:vMerge w:val="continue"/>
            <w:tcBorders>
              <w:top w:val="nil"/>
              <w:bottom w:val="single" w:color="auto" w:sz="4" w:space="0"/>
              <w:right w:val="single" w:color="auto" w:sz="4" w:space="0"/>
            </w:tcBorders>
            <w:vAlign w:val="center"/>
          </w:tcPr>
          <w:p>
            <w:pPr>
              <w:widowControl/>
              <w:jc w:val="left"/>
              <w:rPr>
                <w:rFonts w:ascii="仿宋_GB2312" w:hAnsi="仿宋" w:eastAsia="仿宋_GB2312" w:cs="宋体"/>
                <w:color w:val="000000"/>
                <w:kern w:val="0"/>
                <w:sz w:val="24"/>
                <w:szCs w:val="30"/>
              </w:rPr>
            </w:pPr>
          </w:p>
        </w:tc>
        <w:tc>
          <w:tcPr>
            <w:tcW w:w="1491" w:type="dxa"/>
            <w:tcBorders>
              <w:top w:val="nil"/>
              <w:left w:val="nil"/>
              <w:bottom w:val="single" w:color="auto" w:sz="4" w:space="0"/>
              <w:right w:val="single" w:color="auto" w:sz="4" w:space="0"/>
            </w:tcBorders>
            <w:vAlign w:val="center"/>
          </w:tcPr>
          <w:p>
            <w:pPr>
              <w:widowControl/>
              <w:jc w:val="center"/>
              <w:rPr>
                <w:rFonts w:ascii="仿宋_GB2312" w:hAnsi="仿宋" w:eastAsia="仿宋_GB2312" w:cs="宋体"/>
                <w:color w:val="000000"/>
                <w:kern w:val="0"/>
                <w:sz w:val="24"/>
                <w:szCs w:val="30"/>
              </w:rPr>
            </w:pPr>
            <w:r>
              <w:rPr>
                <w:rFonts w:hint="eastAsia" w:ascii="仿宋_GB2312" w:hAnsi="仿宋" w:eastAsia="仿宋_GB2312" w:cs="宋体"/>
                <w:color w:val="000000"/>
                <w:kern w:val="0"/>
                <w:sz w:val="24"/>
                <w:szCs w:val="30"/>
              </w:rPr>
              <w:t>关注类贷款增速（环比）</w:t>
            </w:r>
          </w:p>
        </w:tc>
        <w:tc>
          <w:tcPr>
            <w:tcW w:w="914" w:type="dxa"/>
            <w:tcBorders>
              <w:top w:val="nil"/>
              <w:left w:val="nil"/>
              <w:bottom w:val="single" w:color="auto" w:sz="4" w:space="0"/>
              <w:right w:val="single" w:color="auto" w:sz="4" w:space="0"/>
            </w:tcBorders>
            <w:vAlign w:val="center"/>
          </w:tcPr>
          <w:p>
            <w:pPr>
              <w:widowControl/>
              <w:jc w:val="right"/>
              <w:rPr>
                <w:rFonts w:ascii="仿宋_GB2312" w:hAnsi="仿宋" w:eastAsia="仿宋_GB2312" w:cs="宋体"/>
                <w:color w:val="000000"/>
                <w:kern w:val="0"/>
                <w:sz w:val="24"/>
                <w:szCs w:val="30"/>
              </w:rPr>
            </w:pPr>
            <w:r>
              <w:rPr>
                <w:rFonts w:hint="eastAsia" w:ascii="仿宋_GB2312" w:hAnsi="仿宋" w:eastAsia="仿宋_GB2312" w:cs="宋体"/>
                <w:color w:val="000000"/>
                <w:kern w:val="0"/>
                <w:sz w:val="24"/>
                <w:szCs w:val="30"/>
              </w:rPr>
              <w:t>5</w:t>
            </w:r>
          </w:p>
        </w:tc>
        <w:tc>
          <w:tcPr>
            <w:tcW w:w="4172" w:type="dxa"/>
            <w:tcBorders>
              <w:top w:val="nil"/>
              <w:left w:val="nil"/>
              <w:bottom w:val="single" w:color="auto" w:sz="4" w:space="0"/>
            </w:tcBorders>
            <w:vAlign w:val="top"/>
          </w:tcPr>
          <w:p>
            <w:pPr>
              <w:widowControl/>
              <w:rPr>
                <w:rFonts w:ascii="仿宋_GB2312" w:hAnsi="宋体" w:eastAsia="仿宋_GB2312" w:cs="宋体"/>
                <w:color w:val="000000"/>
                <w:kern w:val="0"/>
                <w:sz w:val="24"/>
                <w:szCs w:val="30"/>
              </w:rPr>
            </w:pPr>
            <w:r>
              <w:rPr>
                <w:rFonts w:hint="eastAsia" w:ascii="仿宋_GB2312" w:hAnsi="宋体" w:eastAsia="仿宋_GB2312" w:cs="宋体"/>
                <w:color w:val="000000"/>
                <w:kern w:val="0"/>
                <w:sz w:val="24"/>
                <w:szCs w:val="30"/>
              </w:rPr>
              <w:t>指标值≤10%，得5分；10%&lt;指标值≤20%，得4分；20%&lt;指标值≤30%，得3分；指标值&gt;30%，得0分。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6" w:hRule="atLeast"/>
        </w:trPr>
        <w:tc>
          <w:tcPr>
            <w:tcW w:w="1523" w:type="dxa"/>
            <w:vMerge w:val="restart"/>
            <w:tcBorders>
              <w:top w:val="nil"/>
              <w:bottom w:val="single" w:color="auto" w:sz="4" w:space="0"/>
              <w:right w:val="single" w:color="auto" w:sz="4" w:space="0"/>
            </w:tcBorders>
            <w:vAlign w:val="center"/>
          </w:tcPr>
          <w:p>
            <w:pPr>
              <w:widowControl/>
              <w:jc w:val="center"/>
              <w:rPr>
                <w:rFonts w:ascii="仿宋_GB2312" w:hAnsi="仿宋" w:eastAsia="仿宋_GB2312" w:cs="宋体"/>
                <w:color w:val="000000"/>
                <w:kern w:val="0"/>
                <w:sz w:val="24"/>
                <w:szCs w:val="30"/>
              </w:rPr>
            </w:pPr>
            <w:r>
              <w:rPr>
                <w:rFonts w:hint="eastAsia" w:ascii="仿宋_GB2312" w:hAnsi="仿宋" w:eastAsia="仿宋_GB2312" w:cs="宋体"/>
                <w:color w:val="000000"/>
                <w:kern w:val="0"/>
                <w:sz w:val="24"/>
                <w:szCs w:val="30"/>
              </w:rPr>
              <w:t>盈利性指标</w:t>
            </w:r>
          </w:p>
        </w:tc>
        <w:tc>
          <w:tcPr>
            <w:tcW w:w="1491" w:type="dxa"/>
            <w:tcBorders>
              <w:top w:val="nil"/>
              <w:left w:val="nil"/>
              <w:bottom w:val="single" w:color="auto" w:sz="4" w:space="0"/>
              <w:right w:val="single" w:color="auto" w:sz="4" w:space="0"/>
            </w:tcBorders>
            <w:vAlign w:val="center"/>
          </w:tcPr>
          <w:p>
            <w:pPr>
              <w:widowControl/>
              <w:jc w:val="center"/>
              <w:rPr>
                <w:rFonts w:ascii="仿宋_GB2312" w:hAnsi="仿宋" w:eastAsia="仿宋_GB2312" w:cs="宋体"/>
                <w:color w:val="000000"/>
                <w:kern w:val="0"/>
                <w:sz w:val="24"/>
                <w:szCs w:val="30"/>
              </w:rPr>
            </w:pPr>
            <w:r>
              <w:rPr>
                <w:rFonts w:hint="eastAsia" w:ascii="仿宋_GB2312" w:hAnsi="仿宋" w:eastAsia="仿宋_GB2312" w:cs="宋体"/>
                <w:color w:val="000000"/>
                <w:kern w:val="0"/>
                <w:sz w:val="24"/>
                <w:szCs w:val="30"/>
              </w:rPr>
              <w:t>贷款利息收入同比增速</w:t>
            </w:r>
          </w:p>
        </w:tc>
        <w:tc>
          <w:tcPr>
            <w:tcW w:w="914" w:type="dxa"/>
            <w:tcBorders>
              <w:top w:val="nil"/>
              <w:left w:val="nil"/>
              <w:bottom w:val="single" w:color="auto" w:sz="4" w:space="0"/>
              <w:right w:val="single" w:color="auto" w:sz="4" w:space="0"/>
            </w:tcBorders>
            <w:vAlign w:val="center"/>
          </w:tcPr>
          <w:p>
            <w:pPr>
              <w:widowControl/>
              <w:jc w:val="right"/>
              <w:rPr>
                <w:rFonts w:ascii="仿宋_GB2312" w:hAnsi="仿宋" w:eastAsia="仿宋_GB2312" w:cs="宋体"/>
                <w:color w:val="000000"/>
                <w:kern w:val="0"/>
                <w:sz w:val="24"/>
                <w:szCs w:val="30"/>
              </w:rPr>
            </w:pPr>
            <w:r>
              <w:rPr>
                <w:rFonts w:hint="eastAsia" w:ascii="仿宋_GB2312" w:hAnsi="仿宋" w:eastAsia="仿宋_GB2312" w:cs="宋体"/>
                <w:color w:val="000000"/>
                <w:kern w:val="0"/>
                <w:sz w:val="24"/>
                <w:szCs w:val="30"/>
              </w:rPr>
              <w:t>6</w:t>
            </w:r>
          </w:p>
        </w:tc>
        <w:tc>
          <w:tcPr>
            <w:tcW w:w="4172" w:type="dxa"/>
            <w:tcBorders>
              <w:top w:val="nil"/>
              <w:left w:val="nil"/>
              <w:bottom w:val="single" w:color="auto" w:sz="4" w:space="0"/>
            </w:tcBorders>
            <w:vAlign w:val="top"/>
          </w:tcPr>
          <w:p>
            <w:pPr>
              <w:widowControl/>
              <w:rPr>
                <w:rFonts w:ascii="仿宋_GB2312" w:hAnsi="宋体" w:eastAsia="仿宋_GB2312" w:cs="宋体"/>
                <w:color w:val="000000"/>
                <w:kern w:val="0"/>
                <w:sz w:val="24"/>
                <w:szCs w:val="30"/>
              </w:rPr>
            </w:pPr>
            <w:r>
              <w:rPr>
                <w:rFonts w:hint="eastAsia" w:ascii="仿宋_GB2312" w:hAnsi="宋体" w:eastAsia="仿宋_GB2312" w:cs="宋体"/>
                <w:color w:val="000000"/>
                <w:kern w:val="0"/>
                <w:sz w:val="24"/>
                <w:szCs w:val="30"/>
              </w:rPr>
              <w:t>指标值≥-10%，得6分；-20%≤指标值&lt;-10%，得4分；-30%≤指标值&lt;-20%，得3分；指标值&lt;-30%，得0分。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6" w:hRule="atLeast"/>
        </w:trPr>
        <w:tc>
          <w:tcPr>
            <w:tcW w:w="1523" w:type="dxa"/>
            <w:vMerge w:val="continue"/>
            <w:tcBorders>
              <w:top w:val="nil"/>
              <w:bottom w:val="single" w:color="auto" w:sz="4" w:space="0"/>
              <w:right w:val="single" w:color="auto" w:sz="4" w:space="0"/>
            </w:tcBorders>
            <w:vAlign w:val="center"/>
          </w:tcPr>
          <w:p>
            <w:pPr>
              <w:widowControl/>
              <w:jc w:val="left"/>
              <w:rPr>
                <w:rFonts w:ascii="仿宋_GB2312" w:hAnsi="仿宋" w:eastAsia="仿宋_GB2312" w:cs="宋体"/>
                <w:color w:val="000000"/>
                <w:kern w:val="0"/>
                <w:sz w:val="24"/>
                <w:szCs w:val="30"/>
              </w:rPr>
            </w:pPr>
          </w:p>
        </w:tc>
        <w:tc>
          <w:tcPr>
            <w:tcW w:w="1491" w:type="dxa"/>
            <w:tcBorders>
              <w:top w:val="nil"/>
              <w:left w:val="nil"/>
              <w:bottom w:val="single" w:color="auto" w:sz="4" w:space="0"/>
              <w:right w:val="single" w:color="auto" w:sz="4" w:space="0"/>
            </w:tcBorders>
            <w:vAlign w:val="center"/>
          </w:tcPr>
          <w:p>
            <w:pPr>
              <w:widowControl/>
              <w:jc w:val="center"/>
              <w:rPr>
                <w:rFonts w:ascii="仿宋_GB2312" w:hAnsi="仿宋" w:eastAsia="仿宋_GB2312" w:cs="宋体"/>
                <w:color w:val="000000"/>
                <w:kern w:val="0"/>
                <w:sz w:val="24"/>
                <w:szCs w:val="30"/>
              </w:rPr>
            </w:pPr>
            <w:r>
              <w:rPr>
                <w:rFonts w:hint="eastAsia" w:ascii="仿宋_GB2312" w:hAnsi="仿宋" w:eastAsia="仿宋_GB2312" w:cs="宋体"/>
                <w:color w:val="000000"/>
                <w:kern w:val="0"/>
                <w:sz w:val="24"/>
                <w:szCs w:val="30"/>
              </w:rPr>
              <w:t>净息差同比增速</w:t>
            </w:r>
          </w:p>
        </w:tc>
        <w:tc>
          <w:tcPr>
            <w:tcW w:w="914" w:type="dxa"/>
            <w:tcBorders>
              <w:top w:val="nil"/>
              <w:left w:val="nil"/>
              <w:bottom w:val="single" w:color="auto" w:sz="4" w:space="0"/>
              <w:right w:val="single" w:color="auto" w:sz="4" w:space="0"/>
            </w:tcBorders>
            <w:vAlign w:val="center"/>
          </w:tcPr>
          <w:p>
            <w:pPr>
              <w:widowControl/>
              <w:jc w:val="right"/>
              <w:rPr>
                <w:rFonts w:ascii="仿宋_GB2312" w:hAnsi="仿宋" w:eastAsia="仿宋_GB2312" w:cs="宋体"/>
                <w:color w:val="000000"/>
                <w:kern w:val="0"/>
                <w:sz w:val="24"/>
                <w:szCs w:val="30"/>
              </w:rPr>
            </w:pPr>
            <w:r>
              <w:rPr>
                <w:rFonts w:hint="eastAsia" w:ascii="仿宋_GB2312" w:hAnsi="仿宋" w:eastAsia="仿宋_GB2312" w:cs="宋体"/>
                <w:color w:val="000000"/>
                <w:kern w:val="0"/>
                <w:sz w:val="24"/>
                <w:szCs w:val="30"/>
              </w:rPr>
              <w:t>5</w:t>
            </w:r>
          </w:p>
        </w:tc>
        <w:tc>
          <w:tcPr>
            <w:tcW w:w="4172" w:type="dxa"/>
            <w:tcBorders>
              <w:top w:val="nil"/>
              <w:left w:val="nil"/>
              <w:bottom w:val="single" w:color="auto" w:sz="4" w:space="0"/>
            </w:tcBorders>
            <w:vAlign w:val="top"/>
          </w:tcPr>
          <w:p>
            <w:pPr>
              <w:widowControl/>
              <w:rPr>
                <w:rFonts w:ascii="仿宋_GB2312" w:hAnsi="宋体" w:eastAsia="仿宋_GB2312" w:cs="宋体"/>
                <w:color w:val="000000"/>
                <w:kern w:val="0"/>
                <w:sz w:val="24"/>
                <w:szCs w:val="30"/>
              </w:rPr>
            </w:pPr>
            <w:r>
              <w:rPr>
                <w:rFonts w:hint="eastAsia" w:ascii="仿宋_GB2312" w:hAnsi="宋体" w:eastAsia="仿宋_GB2312" w:cs="宋体"/>
                <w:color w:val="000000"/>
                <w:kern w:val="0"/>
                <w:sz w:val="24"/>
                <w:szCs w:val="30"/>
              </w:rPr>
              <w:t>指标值≥-15%，得5分；-25%≤指标值&lt;-15%，得4分；-35%≤指标值&lt;-25%，得3分；指标值&lt;-35%，得0分。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6" w:hRule="atLeast"/>
        </w:trPr>
        <w:tc>
          <w:tcPr>
            <w:tcW w:w="1523" w:type="dxa"/>
            <w:vMerge w:val="continue"/>
            <w:tcBorders>
              <w:top w:val="nil"/>
              <w:bottom w:val="single" w:color="auto" w:sz="4" w:space="0"/>
              <w:right w:val="single" w:color="auto" w:sz="4" w:space="0"/>
            </w:tcBorders>
            <w:vAlign w:val="center"/>
          </w:tcPr>
          <w:p>
            <w:pPr>
              <w:widowControl/>
              <w:jc w:val="left"/>
              <w:rPr>
                <w:rFonts w:ascii="仿宋_GB2312" w:hAnsi="仿宋" w:eastAsia="仿宋_GB2312" w:cs="宋体"/>
                <w:color w:val="000000"/>
                <w:kern w:val="0"/>
                <w:sz w:val="24"/>
                <w:szCs w:val="30"/>
              </w:rPr>
            </w:pPr>
          </w:p>
        </w:tc>
        <w:tc>
          <w:tcPr>
            <w:tcW w:w="1491" w:type="dxa"/>
            <w:tcBorders>
              <w:top w:val="nil"/>
              <w:left w:val="nil"/>
              <w:bottom w:val="single" w:color="auto" w:sz="4" w:space="0"/>
              <w:right w:val="single" w:color="auto" w:sz="4" w:space="0"/>
            </w:tcBorders>
            <w:vAlign w:val="center"/>
          </w:tcPr>
          <w:p>
            <w:pPr>
              <w:widowControl/>
              <w:jc w:val="center"/>
              <w:rPr>
                <w:rFonts w:ascii="仿宋_GB2312" w:hAnsi="仿宋" w:eastAsia="仿宋_GB2312" w:cs="宋体"/>
                <w:color w:val="000000"/>
                <w:kern w:val="0"/>
                <w:sz w:val="24"/>
                <w:szCs w:val="30"/>
              </w:rPr>
            </w:pPr>
            <w:r>
              <w:rPr>
                <w:rFonts w:hint="eastAsia" w:ascii="仿宋_GB2312" w:hAnsi="仿宋" w:eastAsia="仿宋_GB2312" w:cs="宋体"/>
                <w:color w:val="000000"/>
                <w:kern w:val="0"/>
                <w:sz w:val="24"/>
                <w:szCs w:val="30"/>
              </w:rPr>
              <w:t>利息回收率</w:t>
            </w:r>
          </w:p>
        </w:tc>
        <w:tc>
          <w:tcPr>
            <w:tcW w:w="914" w:type="dxa"/>
            <w:tcBorders>
              <w:top w:val="nil"/>
              <w:left w:val="nil"/>
              <w:bottom w:val="single" w:color="auto" w:sz="4" w:space="0"/>
              <w:right w:val="single" w:color="auto" w:sz="4" w:space="0"/>
            </w:tcBorders>
            <w:vAlign w:val="center"/>
          </w:tcPr>
          <w:p>
            <w:pPr>
              <w:widowControl/>
              <w:jc w:val="right"/>
              <w:rPr>
                <w:rFonts w:ascii="仿宋_GB2312" w:hAnsi="仿宋" w:eastAsia="仿宋_GB2312" w:cs="宋体"/>
                <w:color w:val="000000"/>
                <w:kern w:val="0"/>
                <w:sz w:val="24"/>
                <w:szCs w:val="30"/>
              </w:rPr>
            </w:pPr>
            <w:r>
              <w:rPr>
                <w:rFonts w:hint="eastAsia" w:ascii="仿宋_GB2312" w:hAnsi="仿宋" w:eastAsia="仿宋_GB2312" w:cs="宋体"/>
                <w:color w:val="000000"/>
                <w:kern w:val="0"/>
                <w:sz w:val="24"/>
                <w:szCs w:val="30"/>
              </w:rPr>
              <w:t>6</w:t>
            </w:r>
          </w:p>
        </w:tc>
        <w:tc>
          <w:tcPr>
            <w:tcW w:w="4172" w:type="dxa"/>
            <w:tcBorders>
              <w:top w:val="nil"/>
              <w:left w:val="nil"/>
              <w:bottom w:val="single" w:color="auto" w:sz="4" w:space="0"/>
            </w:tcBorders>
            <w:vAlign w:val="top"/>
          </w:tcPr>
          <w:p>
            <w:pPr>
              <w:widowControl/>
              <w:rPr>
                <w:rFonts w:ascii="仿宋_GB2312" w:hAnsi="宋体" w:eastAsia="仿宋_GB2312" w:cs="宋体"/>
                <w:color w:val="000000"/>
                <w:kern w:val="0"/>
                <w:sz w:val="24"/>
                <w:szCs w:val="30"/>
              </w:rPr>
            </w:pPr>
            <w:r>
              <w:rPr>
                <w:rFonts w:hint="eastAsia" w:ascii="仿宋_GB2312" w:hAnsi="宋体" w:eastAsia="仿宋_GB2312" w:cs="宋体"/>
                <w:color w:val="000000"/>
                <w:kern w:val="0"/>
                <w:sz w:val="24"/>
                <w:szCs w:val="30"/>
              </w:rPr>
              <w:t>指标值≤80%，得0分；指标值≥120%，得0分；80&lt;指标值&lt;120，得6分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6" w:hRule="atLeast"/>
        </w:trPr>
        <w:tc>
          <w:tcPr>
            <w:tcW w:w="1523" w:type="dxa"/>
            <w:vMerge w:val="restart"/>
            <w:tcBorders>
              <w:top w:val="nil"/>
              <w:bottom w:val="single" w:color="auto" w:sz="4" w:space="0"/>
              <w:right w:val="single" w:color="auto" w:sz="4" w:space="0"/>
            </w:tcBorders>
            <w:vAlign w:val="center"/>
          </w:tcPr>
          <w:p>
            <w:pPr>
              <w:widowControl/>
              <w:jc w:val="center"/>
              <w:rPr>
                <w:rFonts w:ascii="仿宋_GB2312" w:hAnsi="仿宋" w:eastAsia="仿宋_GB2312" w:cs="宋体"/>
                <w:color w:val="000000"/>
                <w:kern w:val="0"/>
                <w:sz w:val="24"/>
                <w:szCs w:val="30"/>
              </w:rPr>
            </w:pPr>
            <w:r>
              <w:rPr>
                <w:rFonts w:hint="eastAsia" w:ascii="仿宋_GB2312" w:hAnsi="仿宋" w:eastAsia="仿宋_GB2312" w:cs="宋体"/>
                <w:color w:val="000000"/>
                <w:kern w:val="0"/>
                <w:sz w:val="24"/>
                <w:szCs w:val="30"/>
              </w:rPr>
              <w:t>资产结构</w:t>
            </w:r>
          </w:p>
        </w:tc>
        <w:tc>
          <w:tcPr>
            <w:tcW w:w="1491" w:type="dxa"/>
            <w:tcBorders>
              <w:top w:val="nil"/>
              <w:left w:val="nil"/>
              <w:bottom w:val="single" w:color="auto" w:sz="4" w:space="0"/>
              <w:right w:val="single" w:color="auto" w:sz="4" w:space="0"/>
            </w:tcBorders>
            <w:vAlign w:val="center"/>
          </w:tcPr>
          <w:p>
            <w:pPr>
              <w:widowControl/>
              <w:jc w:val="center"/>
              <w:rPr>
                <w:rFonts w:ascii="仿宋_GB2312" w:hAnsi="仿宋" w:eastAsia="仿宋_GB2312" w:cs="宋体"/>
                <w:color w:val="000000"/>
                <w:kern w:val="0"/>
                <w:sz w:val="24"/>
                <w:szCs w:val="30"/>
              </w:rPr>
            </w:pPr>
            <w:r>
              <w:rPr>
                <w:rFonts w:hint="eastAsia" w:ascii="仿宋_GB2312" w:hAnsi="仿宋" w:eastAsia="仿宋_GB2312" w:cs="宋体"/>
                <w:color w:val="000000"/>
                <w:kern w:val="0"/>
                <w:sz w:val="24"/>
                <w:szCs w:val="30"/>
              </w:rPr>
              <w:t>贷款占总资产比重增幅</w:t>
            </w:r>
          </w:p>
        </w:tc>
        <w:tc>
          <w:tcPr>
            <w:tcW w:w="914" w:type="dxa"/>
            <w:tcBorders>
              <w:top w:val="nil"/>
              <w:left w:val="nil"/>
              <w:bottom w:val="single" w:color="auto" w:sz="4" w:space="0"/>
              <w:right w:val="single" w:color="auto" w:sz="4" w:space="0"/>
            </w:tcBorders>
            <w:vAlign w:val="center"/>
          </w:tcPr>
          <w:p>
            <w:pPr>
              <w:widowControl/>
              <w:jc w:val="right"/>
              <w:rPr>
                <w:rFonts w:ascii="仿宋_GB2312" w:hAnsi="仿宋" w:eastAsia="仿宋_GB2312" w:cs="宋体"/>
                <w:color w:val="000000"/>
                <w:kern w:val="0"/>
                <w:sz w:val="24"/>
                <w:szCs w:val="30"/>
              </w:rPr>
            </w:pPr>
            <w:r>
              <w:rPr>
                <w:rFonts w:hint="eastAsia" w:ascii="仿宋_GB2312" w:hAnsi="仿宋" w:eastAsia="仿宋_GB2312" w:cs="宋体"/>
                <w:color w:val="000000"/>
                <w:kern w:val="0"/>
                <w:sz w:val="24"/>
                <w:szCs w:val="30"/>
              </w:rPr>
              <w:t>5</w:t>
            </w:r>
          </w:p>
        </w:tc>
        <w:tc>
          <w:tcPr>
            <w:tcW w:w="4172" w:type="dxa"/>
            <w:tcBorders>
              <w:top w:val="nil"/>
              <w:left w:val="nil"/>
              <w:bottom w:val="single" w:color="auto" w:sz="4" w:space="0"/>
            </w:tcBorders>
            <w:vAlign w:val="top"/>
          </w:tcPr>
          <w:p>
            <w:pPr>
              <w:widowControl/>
              <w:rPr>
                <w:rFonts w:ascii="仿宋_GB2312" w:hAnsi="宋体" w:eastAsia="仿宋_GB2312" w:cs="宋体"/>
                <w:color w:val="000000"/>
                <w:kern w:val="0"/>
                <w:sz w:val="24"/>
                <w:szCs w:val="30"/>
              </w:rPr>
            </w:pPr>
            <w:r>
              <w:rPr>
                <w:rFonts w:hint="eastAsia" w:ascii="仿宋_GB2312" w:hAnsi="宋体" w:eastAsia="仿宋_GB2312" w:cs="宋体"/>
                <w:color w:val="000000"/>
                <w:kern w:val="0"/>
                <w:sz w:val="24"/>
                <w:szCs w:val="30"/>
              </w:rPr>
              <w:t>指标值≥-20%，得5分；-30%≤指标值&lt;-20%，得4分；-40%≤指标值&lt;-30%，得3分；指标值&lt;-40%，得0分。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6" w:hRule="atLeast"/>
        </w:trPr>
        <w:tc>
          <w:tcPr>
            <w:tcW w:w="1523" w:type="dxa"/>
            <w:vMerge w:val="continue"/>
            <w:tcBorders>
              <w:top w:val="nil"/>
              <w:bottom w:val="single" w:color="auto" w:sz="4" w:space="0"/>
              <w:right w:val="single" w:color="auto" w:sz="4" w:space="0"/>
            </w:tcBorders>
            <w:vAlign w:val="center"/>
          </w:tcPr>
          <w:p>
            <w:pPr>
              <w:widowControl/>
              <w:jc w:val="left"/>
              <w:rPr>
                <w:rFonts w:ascii="仿宋_GB2312" w:hAnsi="仿宋" w:eastAsia="仿宋_GB2312" w:cs="宋体"/>
                <w:color w:val="000000"/>
                <w:kern w:val="0"/>
                <w:sz w:val="24"/>
                <w:szCs w:val="30"/>
              </w:rPr>
            </w:pPr>
          </w:p>
        </w:tc>
        <w:tc>
          <w:tcPr>
            <w:tcW w:w="1491" w:type="dxa"/>
            <w:tcBorders>
              <w:top w:val="nil"/>
              <w:left w:val="nil"/>
              <w:bottom w:val="single" w:color="auto" w:sz="4" w:space="0"/>
              <w:right w:val="single" w:color="auto" w:sz="4" w:space="0"/>
            </w:tcBorders>
            <w:vAlign w:val="center"/>
          </w:tcPr>
          <w:p>
            <w:pPr>
              <w:widowControl/>
              <w:jc w:val="center"/>
              <w:rPr>
                <w:rFonts w:ascii="仿宋_GB2312" w:hAnsi="仿宋" w:eastAsia="仿宋_GB2312" w:cs="宋体"/>
                <w:color w:val="000000"/>
                <w:kern w:val="0"/>
                <w:sz w:val="24"/>
                <w:szCs w:val="30"/>
              </w:rPr>
            </w:pPr>
            <w:r>
              <w:rPr>
                <w:rFonts w:hint="eastAsia" w:ascii="仿宋_GB2312" w:hAnsi="仿宋" w:eastAsia="仿宋_GB2312" w:cs="宋体"/>
                <w:color w:val="000000"/>
                <w:kern w:val="0"/>
                <w:sz w:val="24"/>
                <w:szCs w:val="30"/>
              </w:rPr>
              <w:t>抵债资产占总资产比重</w:t>
            </w:r>
          </w:p>
        </w:tc>
        <w:tc>
          <w:tcPr>
            <w:tcW w:w="914" w:type="dxa"/>
            <w:tcBorders>
              <w:top w:val="nil"/>
              <w:left w:val="nil"/>
              <w:bottom w:val="single" w:color="auto" w:sz="4" w:space="0"/>
              <w:right w:val="single" w:color="auto" w:sz="4" w:space="0"/>
            </w:tcBorders>
            <w:vAlign w:val="center"/>
          </w:tcPr>
          <w:p>
            <w:pPr>
              <w:widowControl/>
              <w:jc w:val="right"/>
              <w:rPr>
                <w:rFonts w:ascii="仿宋_GB2312" w:hAnsi="仿宋" w:eastAsia="仿宋_GB2312" w:cs="宋体"/>
                <w:color w:val="000000"/>
                <w:kern w:val="0"/>
                <w:sz w:val="24"/>
                <w:szCs w:val="30"/>
              </w:rPr>
            </w:pPr>
            <w:r>
              <w:rPr>
                <w:rFonts w:hint="eastAsia" w:ascii="仿宋_GB2312" w:hAnsi="仿宋" w:eastAsia="仿宋_GB2312" w:cs="宋体"/>
                <w:color w:val="000000"/>
                <w:kern w:val="0"/>
                <w:sz w:val="24"/>
                <w:szCs w:val="30"/>
              </w:rPr>
              <w:t>6</w:t>
            </w:r>
          </w:p>
        </w:tc>
        <w:tc>
          <w:tcPr>
            <w:tcW w:w="4172" w:type="dxa"/>
            <w:tcBorders>
              <w:top w:val="nil"/>
              <w:left w:val="nil"/>
              <w:bottom w:val="single" w:color="auto" w:sz="4" w:space="0"/>
            </w:tcBorders>
            <w:vAlign w:val="top"/>
          </w:tcPr>
          <w:p>
            <w:pPr>
              <w:widowControl/>
              <w:rPr>
                <w:rFonts w:ascii="仿宋_GB2312" w:hAnsi="宋体" w:eastAsia="仿宋_GB2312" w:cs="宋体"/>
                <w:color w:val="000000"/>
                <w:kern w:val="0"/>
                <w:sz w:val="24"/>
                <w:szCs w:val="30"/>
              </w:rPr>
            </w:pPr>
            <w:r>
              <w:rPr>
                <w:rFonts w:hint="eastAsia" w:ascii="仿宋_GB2312" w:hAnsi="宋体" w:eastAsia="仿宋_GB2312" w:cs="宋体"/>
                <w:color w:val="000000"/>
                <w:kern w:val="0"/>
                <w:sz w:val="24"/>
                <w:szCs w:val="30"/>
              </w:rPr>
              <w:t>指标值≤5%，得6分；5%&lt;指标值≤10%，得4分；10%&lt;指标值≤15%，得3分；指标值&gt;15%，得0分。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6" w:hRule="atLeast"/>
        </w:trPr>
        <w:tc>
          <w:tcPr>
            <w:tcW w:w="1523" w:type="dxa"/>
            <w:vMerge w:val="continue"/>
            <w:tcBorders>
              <w:top w:val="nil"/>
              <w:bottom w:val="single" w:color="auto" w:sz="4" w:space="0"/>
              <w:right w:val="single" w:color="auto" w:sz="4" w:space="0"/>
            </w:tcBorders>
            <w:vAlign w:val="center"/>
          </w:tcPr>
          <w:p>
            <w:pPr>
              <w:widowControl/>
              <w:jc w:val="left"/>
              <w:rPr>
                <w:rFonts w:ascii="仿宋_GB2312" w:hAnsi="仿宋" w:eastAsia="仿宋_GB2312" w:cs="宋体"/>
                <w:color w:val="000000"/>
                <w:kern w:val="0"/>
                <w:sz w:val="24"/>
                <w:szCs w:val="30"/>
              </w:rPr>
            </w:pPr>
          </w:p>
        </w:tc>
        <w:tc>
          <w:tcPr>
            <w:tcW w:w="1491" w:type="dxa"/>
            <w:tcBorders>
              <w:top w:val="nil"/>
              <w:left w:val="nil"/>
              <w:bottom w:val="single" w:color="auto" w:sz="4" w:space="0"/>
              <w:right w:val="single" w:color="auto" w:sz="4" w:space="0"/>
            </w:tcBorders>
            <w:vAlign w:val="center"/>
          </w:tcPr>
          <w:p>
            <w:pPr>
              <w:widowControl/>
              <w:jc w:val="center"/>
              <w:rPr>
                <w:rFonts w:ascii="仿宋_GB2312" w:hAnsi="仿宋" w:eastAsia="仿宋_GB2312" w:cs="宋体"/>
                <w:color w:val="000000"/>
                <w:kern w:val="0"/>
                <w:sz w:val="24"/>
                <w:szCs w:val="30"/>
              </w:rPr>
            </w:pPr>
            <w:r>
              <w:rPr>
                <w:rFonts w:hint="eastAsia" w:ascii="仿宋_GB2312" w:hAnsi="仿宋" w:eastAsia="仿宋_GB2312" w:cs="宋体"/>
                <w:color w:val="000000"/>
                <w:kern w:val="0"/>
                <w:sz w:val="24"/>
                <w:szCs w:val="30"/>
              </w:rPr>
              <w:t>逾期贷款环比增幅</w:t>
            </w:r>
          </w:p>
        </w:tc>
        <w:tc>
          <w:tcPr>
            <w:tcW w:w="914" w:type="dxa"/>
            <w:tcBorders>
              <w:top w:val="nil"/>
              <w:left w:val="nil"/>
              <w:bottom w:val="single" w:color="auto" w:sz="4" w:space="0"/>
              <w:right w:val="single" w:color="auto" w:sz="4" w:space="0"/>
            </w:tcBorders>
            <w:vAlign w:val="center"/>
          </w:tcPr>
          <w:p>
            <w:pPr>
              <w:widowControl/>
              <w:jc w:val="right"/>
              <w:rPr>
                <w:rFonts w:ascii="仿宋_GB2312" w:hAnsi="仿宋" w:eastAsia="仿宋_GB2312" w:cs="宋体"/>
                <w:color w:val="000000"/>
                <w:kern w:val="0"/>
                <w:sz w:val="24"/>
                <w:szCs w:val="30"/>
              </w:rPr>
            </w:pPr>
            <w:r>
              <w:rPr>
                <w:rFonts w:hint="eastAsia" w:ascii="仿宋_GB2312" w:hAnsi="仿宋" w:eastAsia="仿宋_GB2312" w:cs="宋体"/>
                <w:color w:val="000000"/>
                <w:kern w:val="0"/>
                <w:sz w:val="24"/>
                <w:szCs w:val="30"/>
              </w:rPr>
              <w:t>6</w:t>
            </w:r>
          </w:p>
        </w:tc>
        <w:tc>
          <w:tcPr>
            <w:tcW w:w="4172" w:type="dxa"/>
            <w:tcBorders>
              <w:top w:val="nil"/>
              <w:left w:val="nil"/>
              <w:bottom w:val="single" w:color="auto" w:sz="4" w:space="0"/>
            </w:tcBorders>
            <w:vAlign w:val="top"/>
          </w:tcPr>
          <w:p>
            <w:pPr>
              <w:widowControl/>
              <w:rPr>
                <w:rFonts w:ascii="仿宋_GB2312" w:hAnsi="宋体" w:eastAsia="仿宋_GB2312" w:cs="宋体"/>
                <w:color w:val="000000"/>
                <w:kern w:val="0"/>
                <w:sz w:val="24"/>
                <w:szCs w:val="30"/>
              </w:rPr>
            </w:pPr>
            <w:r>
              <w:rPr>
                <w:rFonts w:hint="eastAsia" w:ascii="仿宋_GB2312" w:hAnsi="宋体" w:eastAsia="仿宋_GB2312" w:cs="宋体"/>
                <w:color w:val="000000"/>
                <w:kern w:val="0"/>
                <w:sz w:val="24"/>
                <w:szCs w:val="30"/>
              </w:rPr>
              <w:t>指标值≤5%，得6分；5%&lt;指标值≤10%，得4分；10%&lt;指标值≤15%，得3分；指标值&gt;15%，得0分。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6" w:hRule="atLeast"/>
        </w:trPr>
        <w:tc>
          <w:tcPr>
            <w:tcW w:w="1523" w:type="dxa"/>
            <w:vMerge w:val="continue"/>
            <w:tcBorders>
              <w:top w:val="nil"/>
              <w:bottom w:val="single" w:color="auto" w:sz="4" w:space="0"/>
              <w:right w:val="single" w:color="auto" w:sz="4" w:space="0"/>
            </w:tcBorders>
            <w:vAlign w:val="center"/>
          </w:tcPr>
          <w:p>
            <w:pPr>
              <w:widowControl/>
              <w:jc w:val="left"/>
              <w:rPr>
                <w:rFonts w:ascii="仿宋_GB2312" w:hAnsi="仿宋" w:eastAsia="仿宋_GB2312" w:cs="宋体"/>
                <w:color w:val="000000"/>
                <w:kern w:val="0"/>
                <w:sz w:val="24"/>
                <w:szCs w:val="30"/>
              </w:rPr>
            </w:pPr>
          </w:p>
        </w:tc>
        <w:tc>
          <w:tcPr>
            <w:tcW w:w="1491" w:type="dxa"/>
            <w:tcBorders>
              <w:top w:val="nil"/>
              <w:left w:val="nil"/>
              <w:bottom w:val="single" w:color="auto" w:sz="4" w:space="0"/>
              <w:right w:val="single" w:color="auto" w:sz="4" w:space="0"/>
            </w:tcBorders>
            <w:vAlign w:val="center"/>
          </w:tcPr>
          <w:p>
            <w:pPr>
              <w:widowControl/>
              <w:jc w:val="center"/>
              <w:rPr>
                <w:rFonts w:ascii="仿宋_GB2312" w:hAnsi="仿宋" w:eastAsia="仿宋_GB2312" w:cs="宋体"/>
                <w:color w:val="000000"/>
                <w:kern w:val="0"/>
                <w:sz w:val="24"/>
                <w:szCs w:val="30"/>
              </w:rPr>
            </w:pPr>
            <w:r>
              <w:rPr>
                <w:rFonts w:hint="eastAsia" w:ascii="仿宋_GB2312" w:hAnsi="仿宋" w:eastAsia="仿宋_GB2312" w:cs="宋体"/>
                <w:color w:val="000000"/>
                <w:kern w:val="0"/>
                <w:sz w:val="24"/>
                <w:szCs w:val="30"/>
              </w:rPr>
              <w:t>其他应收款占总资产比重</w:t>
            </w:r>
          </w:p>
        </w:tc>
        <w:tc>
          <w:tcPr>
            <w:tcW w:w="914" w:type="dxa"/>
            <w:tcBorders>
              <w:top w:val="nil"/>
              <w:left w:val="nil"/>
              <w:bottom w:val="single" w:color="auto" w:sz="4" w:space="0"/>
              <w:right w:val="single" w:color="auto" w:sz="4" w:space="0"/>
            </w:tcBorders>
            <w:vAlign w:val="center"/>
          </w:tcPr>
          <w:p>
            <w:pPr>
              <w:widowControl/>
              <w:jc w:val="right"/>
              <w:rPr>
                <w:rFonts w:ascii="仿宋_GB2312" w:hAnsi="仿宋" w:eastAsia="仿宋_GB2312" w:cs="宋体"/>
                <w:color w:val="000000"/>
                <w:kern w:val="0"/>
                <w:sz w:val="24"/>
                <w:szCs w:val="30"/>
              </w:rPr>
            </w:pPr>
            <w:r>
              <w:rPr>
                <w:rFonts w:hint="eastAsia" w:ascii="仿宋_GB2312" w:hAnsi="仿宋" w:eastAsia="仿宋_GB2312" w:cs="宋体"/>
                <w:color w:val="000000"/>
                <w:kern w:val="0"/>
                <w:sz w:val="24"/>
                <w:szCs w:val="30"/>
              </w:rPr>
              <w:t>6</w:t>
            </w:r>
          </w:p>
        </w:tc>
        <w:tc>
          <w:tcPr>
            <w:tcW w:w="4172" w:type="dxa"/>
            <w:tcBorders>
              <w:top w:val="nil"/>
              <w:left w:val="nil"/>
              <w:bottom w:val="single" w:color="auto" w:sz="4" w:space="0"/>
            </w:tcBorders>
            <w:vAlign w:val="top"/>
          </w:tcPr>
          <w:p>
            <w:pPr>
              <w:widowControl/>
              <w:rPr>
                <w:rFonts w:ascii="仿宋_GB2312" w:hAnsi="宋体" w:eastAsia="仿宋_GB2312" w:cs="宋体"/>
                <w:color w:val="000000"/>
                <w:kern w:val="0"/>
                <w:sz w:val="24"/>
                <w:szCs w:val="30"/>
              </w:rPr>
            </w:pPr>
            <w:r>
              <w:rPr>
                <w:rFonts w:hint="eastAsia" w:ascii="仿宋_GB2312" w:hAnsi="宋体" w:eastAsia="仿宋_GB2312" w:cs="宋体"/>
                <w:color w:val="000000"/>
                <w:kern w:val="0"/>
                <w:sz w:val="24"/>
                <w:szCs w:val="30"/>
              </w:rPr>
              <w:t>指标值≤5%，得6分；5%&lt;指标值≤10%，得4分；10%&lt;指标值≤15%，得3分；指标值&gt;15%，得0分。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6" w:hRule="atLeast"/>
        </w:trPr>
        <w:tc>
          <w:tcPr>
            <w:tcW w:w="1523" w:type="dxa"/>
            <w:vMerge w:val="restart"/>
            <w:tcBorders>
              <w:top w:val="nil"/>
              <w:bottom w:val="single" w:color="auto" w:sz="4" w:space="0"/>
              <w:right w:val="single" w:color="auto" w:sz="4" w:space="0"/>
            </w:tcBorders>
            <w:vAlign w:val="center"/>
          </w:tcPr>
          <w:p>
            <w:pPr>
              <w:widowControl/>
              <w:jc w:val="center"/>
              <w:rPr>
                <w:rFonts w:ascii="仿宋_GB2312" w:hAnsi="仿宋" w:eastAsia="仿宋_GB2312" w:cs="宋体"/>
                <w:color w:val="000000"/>
                <w:kern w:val="0"/>
                <w:sz w:val="24"/>
                <w:szCs w:val="30"/>
              </w:rPr>
            </w:pPr>
            <w:r>
              <w:rPr>
                <w:rFonts w:hint="eastAsia" w:ascii="仿宋_GB2312" w:hAnsi="仿宋" w:eastAsia="仿宋_GB2312" w:cs="宋体"/>
                <w:color w:val="000000"/>
                <w:kern w:val="0"/>
                <w:sz w:val="24"/>
                <w:szCs w:val="30"/>
              </w:rPr>
              <w:t>流动性指标</w:t>
            </w:r>
          </w:p>
        </w:tc>
        <w:tc>
          <w:tcPr>
            <w:tcW w:w="1491" w:type="dxa"/>
            <w:tcBorders>
              <w:top w:val="nil"/>
              <w:left w:val="nil"/>
              <w:bottom w:val="single" w:color="auto" w:sz="4" w:space="0"/>
              <w:right w:val="single" w:color="auto" w:sz="4" w:space="0"/>
            </w:tcBorders>
            <w:vAlign w:val="center"/>
          </w:tcPr>
          <w:p>
            <w:pPr>
              <w:widowControl/>
              <w:jc w:val="center"/>
              <w:rPr>
                <w:rFonts w:ascii="仿宋_GB2312" w:hAnsi="仿宋" w:eastAsia="仿宋_GB2312" w:cs="宋体"/>
                <w:color w:val="000000"/>
                <w:kern w:val="0"/>
                <w:sz w:val="24"/>
                <w:szCs w:val="30"/>
              </w:rPr>
            </w:pPr>
            <w:r>
              <w:rPr>
                <w:rFonts w:hint="eastAsia" w:ascii="仿宋_GB2312" w:hAnsi="仿宋" w:eastAsia="仿宋_GB2312" w:cs="宋体"/>
                <w:color w:val="000000"/>
                <w:kern w:val="0"/>
                <w:sz w:val="24"/>
                <w:szCs w:val="30"/>
              </w:rPr>
              <w:t>全部同业融入占总负债比重</w:t>
            </w:r>
          </w:p>
        </w:tc>
        <w:tc>
          <w:tcPr>
            <w:tcW w:w="914" w:type="dxa"/>
            <w:tcBorders>
              <w:top w:val="nil"/>
              <w:left w:val="nil"/>
              <w:bottom w:val="single" w:color="auto" w:sz="4" w:space="0"/>
              <w:right w:val="single" w:color="auto" w:sz="4" w:space="0"/>
            </w:tcBorders>
            <w:vAlign w:val="center"/>
          </w:tcPr>
          <w:p>
            <w:pPr>
              <w:widowControl/>
              <w:jc w:val="right"/>
              <w:rPr>
                <w:rFonts w:ascii="仿宋_GB2312" w:hAnsi="仿宋" w:eastAsia="仿宋_GB2312" w:cs="宋体"/>
                <w:color w:val="000000"/>
                <w:kern w:val="0"/>
                <w:sz w:val="24"/>
                <w:szCs w:val="30"/>
              </w:rPr>
            </w:pPr>
            <w:r>
              <w:rPr>
                <w:rFonts w:hint="eastAsia" w:ascii="仿宋_GB2312" w:hAnsi="仿宋" w:eastAsia="仿宋_GB2312" w:cs="宋体"/>
                <w:color w:val="000000"/>
                <w:kern w:val="0"/>
                <w:sz w:val="24"/>
                <w:szCs w:val="30"/>
              </w:rPr>
              <w:t>6</w:t>
            </w:r>
          </w:p>
        </w:tc>
        <w:tc>
          <w:tcPr>
            <w:tcW w:w="4172" w:type="dxa"/>
            <w:tcBorders>
              <w:top w:val="nil"/>
              <w:left w:val="nil"/>
              <w:bottom w:val="single" w:color="auto" w:sz="4" w:space="0"/>
            </w:tcBorders>
            <w:vAlign w:val="top"/>
          </w:tcPr>
          <w:p>
            <w:pPr>
              <w:widowControl/>
              <w:rPr>
                <w:rFonts w:ascii="仿宋_GB2312" w:hAnsi="宋体" w:eastAsia="仿宋_GB2312" w:cs="宋体"/>
                <w:color w:val="000000"/>
                <w:kern w:val="0"/>
                <w:sz w:val="24"/>
                <w:szCs w:val="30"/>
              </w:rPr>
            </w:pPr>
            <w:r>
              <w:rPr>
                <w:rFonts w:hint="eastAsia" w:ascii="仿宋_GB2312" w:hAnsi="宋体" w:eastAsia="仿宋_GB2312" w:cs="宋体"/>
                <w:color w:val="000000"/>
                <w:kern w:val="0"/>
                <w:sz w:val="24"/>
                <w:szCs w:val="30"/>
              </w:rPr>
              <w:t>指标值≤20%，得6分；20%&lt;指标值≤30%，得4分；30%&lt;指标值≤50%，得3分；指标值&gt;50%，得0分。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6" w:hRule="atLeast"/>
        </w:trPr>
        <w:tc>
          <w:tcPr>
            <w:tcW w:w="1523" w:type="dxa"/>
            <w:vMerge w:val="continue"/>
            <w:tcBorders>
              <w:top w:val="nil"/>
              <w:bottom w:val="single" w:color="auto" w:sz="4" w:space="0"/>
              <w:right w:val="single" w:color="auto" w:sz="4" w:space="0"/>
            </w:tcBorders>
            <w:vAlign w:val="center"/>
          </w:tcPr>
          <w:p>
            <w:pPr>
              <w:widowControl/>
              <w:jc w:val="left"/>
              <w:rPr>
                <w:rFonts w:ascii="仿宋_GB2312" w:hAnsi="仿宋" w:eastAsia="仿宋_GB2312" w:cs="宋体"/>
                <w:color w:val="000000"/>
                <w:kern w:val="0"/>
                <w:sz w:val="24"/>
                <w:szCs w:val="30"/>
              </w:rPr>
            </w:pPr>
          </w:p>
        </w:tc>
        <w:tc>
          <w:tcPr>
            <w:tcW w:w="1491" w:type="dxa"/>
            <w:tcBorders>
              <w:top w:val="nil"/>
              <w:left w:val="nil"/>
              <w:bottom w:val="single" w:color="auto" w:sz="4" w:space="0"/>
              <w:right w:val="single" w:color="auto" w:sz="4" w:space="0"/>
            </w:tcBorders>
            <w:vAlign w:val="center"/>
          </w:tcPr>
          <w:p>
            <w:pPr>
              <w:widowControl/>
              <w:jc w:val="center"/>
              <w:rPr>
                <w:rFonts w:ascii="仿宋_GB2312" w:hAnsi="仿宋" w:eastAsia="仿宋_GB2312" w:cs="宋体"/>
                <w:color w:val="000000"/>
                <w:kern w:val="0"/>
                <w:sz w:val="24"/>
                <w:szCs w:val="30"/>
              </w:rPr>
            </w:pPr>
            <w:r>
              <w:rPr>
                <w:rFonts w:hint="eastAsia" w:ascii="仿宋_GB2312" w:hAnsi="仿宋" w:eastAsia="仿宋_GB2312" w:cs="宋体"/>
                <w:color w:val="000000"/>
                <w:kern w:val="0"/>
                <w:sz w:val="24"/>
                <w:szCs w:val="30"/>
              </w:rPr>
              <w:t>全部同业资产占总资产比重</w:t>
            </w:r>
          </w:p>
        </w:tc>
        <w:tc>
          <w:tcPr>
            <w:tcW w:w="914" w:type="dxa"/>
            <w:tcBorders>
              <w:top w:val="nil"/>
              <w:left w:val="nil"/>
              <w:bottom w:val="single" w:color="auto" w:sz="4" w:space="0"/>
              <w:right w:val="single" w:color="auto" w:sz="4" w:space="0"/>
            </w:tcBorders>
            <w:vAlign w:val="center"/>
          </w:tcPr>
          <w:p>
            <w:pPr>
              <w:widowControl/>
              <w:jc w:val="right"/>
              <w:rPr>
                <w:rFonts w:ascii="仿宋_GB2312" w:hAnsi="仿宋" w:eastAsia="仿宋_GB2312" w:cs="宋体"/>
                <w:color w:val="000000"/>
                <w:kern w:val="0"/>
                <w:sz w:val="24"/>
                <w:szCs w:val="30"/>
              </w:rPr>
            </w:pPr>
            <w:r>
              <w:rPr>
                <w:rFonts w:hint="eastAsia" w:ascii="仿宋_GB2312" w:hAnsi="仿宋" w:eastAsia="仿宋_GB2312" w:cs="宋体"/>
                <w:color w:val="000000"/>
                <w:kern w:val="0"/>
                <w:sz w:val="24"/>
                <w:szCs w:val="30"/>
              </w:rPr>
              <w:t>6</w:t>
            </w:r>
          </w:p>
        </w:tc>
        <w:tc>
          <w:tcPr>
            <w:tcW w:w="4172" w:type="dxa"/>
            <w:tcBorders>
              <w:top w:val="nil"/>
              <w:left w:val="nil"/>
              <w:bottom w:val="single" w:color="auto" w:sz="4" w:space="0"/>
            </w:tcBorders>
            <w:vAlign w:val="top"/>
          </w:tcPr>
          <w:p>
            <w:pPr>
              <w:widowControl/>
              <w:rPr>
                <w:rFonts w:ascii="仿宋_GB2312" w:hAnsi="宋体" w:eastAsia="仿宋_GB2312" w:cs="宋体"/>
                <w:color w:val="000000"/>
                <w:kern w:val="0"/>
                <w:sz w:val="24"/>
                <w:szCs w:val="30"/>
              </w:rPr>
            </w:pPr>
            <w:r>
              <w:rPr>
                <w:rFonts w:hint="eastAsia" w:ascii="仿宋_GB2312" w:hAnsi="宋体" w:eastAsia="仿宋_GB2312" w:cs="宋体"/>
                <w:color w:val="000000"/>
                <w:kern w:val="0"/>
                <w:sz w:val="24"/>
                <w:szCs w:val="30"/>
              </w:rPr>
              <w:t>指标值≤30%，得6分；30%&lt;指标值≤40%，得4分；40%&lt;指标值≤50%，得3分；指标值&gt;50%，得0分。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6" w:hRule="atLeast"/>
        </w:trPr>
        <w:tc>
          <w:tcPr>
            <w:tcW w:w="1523" w:type="dxa"/>
            <w:vMerge w:val="continue"/>
            <w:tcBorders>
              <w:top w:val="nil"/>
              <w:bottom w:val="single" w:color="auto" w:sz="4" w:space="0"/>
              <w:right w:val="single" w:color="auto" w:sz="4" w:space="0"/>
            </w:tcBorders>
            <w:vAlign w:val="center"/>
          </w:tcPr>
          <w:p>
            <w:pPr>
              <w:widowControl/>
              <w:jc w:val="left"/>
              <w:rPr>
                <w:rFonts w:ascii="仿宋_GB2312" w:hAnsi="仿宋" w:eastAsia="仿宋_GB2312" w:cs="宋体"/>
                <w:color w:val="000000"/>
                <w:kern w:val="0"/>
                <w:sz w:val="24"/>
                <w:szCs w:val="30"/>
              </w:rPr>
            </w:pPr>
          </w:p>
        </w:tc>
        <w:tc>
          <w:tcPr>
            <w:tcW w:w="1491" w:type="dxa"/>
            <w:tcBorders>
              <w:top w:val="nil"/>
              <w:left w:val="nil"/>
              <w:bottom w:val="single" w:color="auto" w:sz="4" w:space="0"/>
              <w:right w:val="single" w:color="auto" w:sz="4" w:space="0"/>
            </w:tcBorders>
            <w:vAlign w:val="center"/>
          </w:tcPr>
          <w:p>
            <w:pPr>
              <w:widowControl/>
              <w:jc w:val="center"/>
              <w:rPr>
                <w:rFonts w:ascii="仿宋_GB2312" w:hAnsi="仿宋" w:eastAsia="仿宋_GB2312" w:cs="宋体"/>
                <w:color w:val="000000"/>
                <w:kern w:val="0"/>
                <w:sz w:val="24"/>
                <w:szCs w:val="30"/>
              </w:rPr>
            </w:pPr>
            <w:r>
              <w:rPr>
                <w:rFonts w:hint="eastAsia" w:ascii="仿宋_GB2312" w:hAnsi="仿宋" w:eastAsia="仿宋_GB2312" w:cs="宋体"/>
                <w:color w:val="000000"/>
                <w:kern w:val="0"/>
                <w:sz w:val="24"/>
                <w:szCs w:val="30"/>
              </w:rPr>
              <w:t>最大单家同业融出比例</w:t>
            </w:r>
          </w:p>
        </w:tc>
        <w:tc>
          <w:tcPr>
            <w:tcW w:w="914" w:type="dxa"/>
            <w:tcBorders>
              <w:top w:val="nil"/>
              <w:left w:val="nil"/>
              <w:bottom w:val="single" w:color="auto" w:sz="4" w:space="0"/>
              <w:right w:val="single" w:color="auto" w:sz="4" w:space="0"/>
            </w:tcBorders>
            <w:vAlign w:val="center"/>
          </w:tcPr>
          <w:p>
            <w:pPr>
              <w:widowControl/>
              <w:jc w:val="right"/>
              <w:rPr>
                <w:rFonts w:ascii="仿宋_GB2312" w:hAnsi="仿宋" w:eastAsia="仿宋_GB2312" w:cs="宋体"/>
                <w:color w:val="000000"/>
                <w:kern w:val="0"/>
                <w:sz w:val="24"/>
                <w:szCs w:val="30"/>
              </w:rPr>
            </w:pPr>
            <w:r>
              <w:rPr>
                <w:rFonts w:hint="eastAsia" w:ascii="仿宋_GB2312" w:hAnsi="仿宋" w:eastAsia="仿宋_GB2312" w:cs="宋体"/>
                <w:color w:val="000000"/>
                <w:kern w:val="0"/>
                <w:sz w:val="24"/>
                <w:szCs w:val="30"/>
              </w:rPr>
              <w:t>6</w:t>
            </w:r>
          </w:p>
        </w:tc>
        <w:tc>
          <w:tcPr>
            <w:tcW w:w="4172" w:type="dxa"/>
            <w:tcBorders>
              <w:top w:val="nil"/>
              <w:left w:val="nil"/>
              <w:bottom w:val="single" w:color="auto" w:sz="4" w:space="0"/>
            </w:tcBorders>
            <w:vAlign w:val="top"/>
          </w:tcPr>
          <w:p>
            <w:pPr>
              <w:widowControl/>
              <w:rPr>
                <w:rFonts w:ascii="仿宋_GB2312" w:hAnsi="宋体" w:eastAsia="仿宋_GB2312" w:cs="宋体"/>
                <w:color w:val="000000"/>
                <w:kern w:val="0"/>
                <w:sz w:val="24"/>
                <w:szCs w:val="30"/>
              </w:rPr>
            </w:pPr>
            <w:r>
              <w:rPr>
                <w:rFonts w:hint="eastAsia" w:ascii="仿宋_GB2312" w:hAnsi="宋体" w:eastAsia="仿宋_GB2312" w:cs="宋体"/>
                <w:color w:val="000000"/>
                <w:kern w:val="0"/>
                <w:sz w:val="24"/>
                <w:szCs w:val="30"/>
              </w:rPr>
              <w:t>指标值≤10%，得6分；10%&lt;指标值≤20%，得4分；20%&lt;指标值≤30%，得3分；指标值&gt;30%，得0分。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6" w:hRule="atLeast"/>
        </w:trPr>
        <w:tc>
          <w:tcPr>
            <w:tcW w:w="1523" w:type="dxa"/>
            <w:tcBorders>
              <w:top w:val="nil"/>
              <w:bottom w:val="single" w:color="auto" w:sz="4" w:space="0"/>
              <w:right w:val="single" w:color="auto" w:sz="4" w:space="0"/>
            </w:tcBorders>
            <w:vAlign w:val="center"/>
          </w:tcPr>
          <w:p>
            <w:pPr>
              <w:widowControl/>
              <w:jc w:val="left"/>
              <w:rPr>
                <w:rFonts w:ascii="仿宋_GB2312" w:hAnsi="仿宋" w:eastAsia="仿宋_GB2312" w:cs="宋体"/>
                <w:color w:val="000000"/>
                <w:kern w:val="0"/>
                <w:sz w:val="24"/>
                <w:szCs w:val="30"/>
              </w:rPr>
            </w:pPr>
            <w:r>
              <w:rPr>
                <w:rFonts w:hint="eastAsia" w:ascii="仿宋_GB2312" w:hAnsi="仿宋" w:eastAsia="仿宋_GB2312" w:cs="宋体"/>
                <w:color w:val="000000"/>
                <w:kern w:val="0"/>
                <w:sz w:val="24"/>
                <w:szCs w:val="30"/>
              </w:rPr>
              <w:t>评级指标</w:t>
            </w:r>
          </w:p>
        </w:tc>
        <w:tc>
          <w:tcPr>
            <w:tcW w:w="1491" w:type="dxa"/>
            <w:tcBorders>
              <w:top w:val="nil"/>
              <w:left w:val="nil"/>
              <w:bottom w:val="single" w:color="auto" w:sz="4" w:space="0"/>
              <w:right w:val="single" w:color="auto" w:sz="4" w:space="0"/>
            </w:tcBorders>
            <w:vAlign w:val="center"/>
          </w:tcPr>
          <w:p>
            <w:pPr>
              <w:widowControl/>
              <w:jc w:val="center"/>
              <w:rPr>
                <w:rFonts w:ascii="仿宋_GB2312" w:hAnsi="仿宋" w:eastAsia="仿宋_GB2312" w:cs="宋体"/>
                <w:color w:val="000000"/>
                <w:kern w:val="0"/>
                <w:sz w:val="24"/>
                <w:szCs w:val="30"/>
              </w:rPr>
            </w:pPr>
            <w:r>
              <w:rPr>
                <w:rFonts w:hint="eastAsia" w:ascii="仿宋_GB2312" w:hAnsi="仿宋" w:eastAsia="仿宋_GB2312" w:cs="宋体"/>
                <w:color w:val="000000"/>
                <w:kern w:val="0"/>
                <w:sz w:val="24"/>
                <w:szCs w:val="30"/>
              </w:rPr>
              <w:t>央行评级结果与上季度相比</w:t>
            </w:r>
          </w:p>
        </w:tc>
        <w:tc>
          <w:tcPr>
            <w:tcW w:w="914" w:type="dxa"/>
            <w:tcBorders>
              <w:top w:val="nil"/>
              <w:left w:val="nil"/>
              <w:bottom w:val="single" w:color="auto" w:sz="4" w:space="0"/>
              <w:right w:val="single" w:color="auto" w:sz="4" w:space="0"/>
            </w:tcBorders>
            <w:vAlign w:val="center"/>
          </w:tcPr>
          <w:p>
            <w:pPr>
              <w:widowControl/>
              <w:jc w:val="right"/>
              <w:rPr>
                <w:rFonts w:ascii="仿宋_GB2312" w:hAnsi="仿宋" w:eastAsia="仿宋_GB2312" w:cs="宋体"/>
                <w:color w:val="000000"/>
                <w:kern w:val="0"/>
                <w:sz w:val="24"/>
                <w:szCs w:val="30"/>
              </w:rPr>
            </w:pPr>
            <w:r>
              <w:rPr>
                <w:rFonts w:hint="eastAsia" w:ascii="仿宋_GB2312" w:hAnsi="仿宋" w:eastAsia="仿宋_GB2312" w:cs="宋体"/>
                <w:color w:val="000000"/>
                <w:kern w:val="0"/>
                <w:sz w:val="24"/>
                <w:szCs w:val="30"/>
              </w:rPr>
              <w:t>10</w:t>
            </w:r>
          </w:p>
        </w:tc>
        <w:tc>
          <w:tcPr>
            <w:tcW w:w="4172" w:type="dxa"/>
            <w:tcBorders>
              <w:top w:val="nil"/>
              <w:left w:val="nil"/>
              <w:bottom w:val="single" w:color="auto" w:sz="4" w:space="0"/>
            </w:tcBorders>
            <w:vAlign w:val="top"/>
          </w:tcPr>
          <w:p>
            <w:pPr>
              <w:widowControl/>
              <w:rPr>
                <w:rFonts w:ascii="仿宋_GB2312" w:hAnsi="宋体" w:eastAsia="仿宋_GB2312" w:cs="宋体"/>
                <w:color w:val="000000"/>
                <w:kern w:val="0"/>
                <w:sz w:val="24"/>
                <w:szCs w:val="30"/>
              </w:rPr>
            </w:pPr>
            <w:r>
              <w:rPr>
                <w:rFonts w:hint="eastAsia" w:ascii="仿宋_GB2312" w:hAnsi="宋体" w:eastAsia="仿宋_GB2312" w:cs="宋体"/>
                <w:color w:val="000000"/>
                <w:kern w:val="0"/>
                <w:sz w:val="24"/>
                <w:szCs w:val="30"/>
              </w:rPr>
              <w:t>指标值与上期相比没有下降得10分；指标值降低1级，得5分；指标值降低2级，得0分；评级指标为7级或以下，得0分。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6" w:hRule="atLeast"/>
        </w:trPr>
        <w:tc>
          <w:tcPr>
            <w:tcW w:w="1523" w:type="dxa"/>
            <w:tcBorders>
              <w:top w:val="nil"/>
              <w:bottom w:val="single" w:color="auto" w:sz="4" w:space="0"/>
              <w:right w:val="single" w:color="auto" w:sz="4" w:space="0"/>
            </w:tcBorders>
            <w:vAlign w:val="center"/>
          </w:tcPr>
          <w:p>
            <w:pPr>
              <w:widowControl/>
              <w:jc w:val="left"/>
              <w:rPr>
                <w:rFonts w:ascii="仿宋_GB2312" w:hAnsi="仿宋" w:eastAsia="仿宋_GB2312" w:cs="宋体"/>
                <w:color w:val="000000"/>
                <w:kern w:val="0"/>
                <w:sz w:val="24"/>
                <w:szCs w:val="30"/>
              </w:rPr>
            </w:pPr>
            <w:r>
              <w:rPr>
                <w:rFonts w:hint="eastAsia" w:ascii="仿宋_GB2312" w:hAnsi="仿宋" w:eastAsia="仿宋_GB2312" w:cs="宋体"/>
                <w:color w:val="000000"/>
                <w:kern w:val="0"/>
                <w:sz w:val="24"/>
                <w:szCs w:val="30"/>
              </w:rPr>
              <w:t>核查情况</w:t>
            </w:r>
          </w:p>
        </w:tc>
        <w:tc>
          <w:tcPr>
            <w:tcW w:w="1491" w:type="dxa"/>
            <w:tcBorders>
              <w:top w:val="nil"/>
              <w:left w:val="nil"/>
              <w:bottom w:val="single" w:color="auto" w:sz="4" w:space="0"/>
              <w:right w:val="single" w:color="auto" w:sz="4" w:space="0"/>
            </w:tcBorders>
            <w:vAlign w:val="center"/>
          </w:tcPr>
          <w:p>
            <w:pPr>
              <w:widowControl/>
              <w:jc w:val="center"/>
              <w:rPr>
                <w:rFonts w:ascii="仿宋_GB2312" w:hAnsi="仿宋" w:eastAsia="仿宋_GB2312" w:cs="宋体"/>
                <w:color w:val="000000"/>
                <w:kern w:val="0"/>
                <w:sz w:val="24"/>
                <w:szCs w:val="30"/>
              </w:rPr>
            </w:pPr>
            <w:r>
              <w:rPr>
                <w:rFonts w:hint="eastAsia" w:ascii="仿宋_GB2312" w:hAnsi="仿宋" w:eastAsia="仿宋_GB2312" w:cs="宋体"/>
                <w:color w:val="000000"/>
                <w:kern w:val="0"/>
                <w:sz w:val="24"/>
                <w:szCs w:val="30"/>
              </w:rPr>
              <w:t>资产质量核查数据与账面数据的偏离度</w:t>
            </w:r>
          </w:p>
        </w:tc>
        <w:tc>
          <w:tcPr>
            <w:tcW w:w="914" w:type="dxa"/>
            <w:tcBorders>
              <w:top w:val="nil"/>
              <w:left w:val="nil"/>
              <w:bottom w:val="single" w:color="auto" w:sz="4" w:space="0"/>
              <w:right w:val="single" w:color="auto" w:sz="4" w:space="0"/>
            </w:tcBorders>
            <w:vAlign w:val="center"/>
          </w:tcPr>
          <w:p>
            <w:pPr>
              <w:widowControl/>
              <w:jc w:val="right"/>
              <w:rPr>
                <w:rFonts w:ascii="仿宋_GB2312" w:hAnsi="仿宋" w:eastAsia="仿宋_GB2312" w:cs="宋体"/>
                <w:color w:val="000000"/>
                <w:kern w:val="0"/>
                <w:sz w:val="24"/>
                <w:szCs w:val="30"/>
              </w:rPr>
            </w:pPr>
            <w:r>
              <w:rPr>
                <w:rFonts w:hint="eastAsia" w:ascii="仿宋_GB2312" w:hAnsi="仿宋" w:eastAsia="仿宋_GB2312" w:cs="宋体"/>
                <w:color w:val="000000"/>
                <w:kern w:val="0"/>
                <w:sz w:val="24"/>
                <w:szCs w:val="30"/>
              </w:rPr>
              <w:t>10</w:t>
            </w:r>
          </w:p>
        </w:tc>
        <w:tc>
          <w:tcPr>
            <w:tcW w:w="4172" w:type="dxa"/>
            <w:tcBorders>
              <w:top w:val="nil"/>
              <w:left w:val="nil"/>
              <w:bottom w:val="single" w:color="auto" w:sz="4" w:space="0"/>
            </w:tcBorders>
            <w:vAlign w:val="top"/>
          </w:tcPr>
          <w:p>
            <w:pPr>
              <w:widowControl/>
              <w:rPr>
                <w:rFonts w:ascii="仿宋_GB2312" w:hAnsi="宋体" w:eastAsia="仿宋_GB2312" w:cs="宋体"/>
                <w:color w:val="000000"/>
                <w:kern w:val="0"/>
                <w:sz w:val="24"/>
                <w:szCs w:val="30"/>
              </w:rPr>
            </w:pPr>
            <w:r>
              <w:rPr>
                <w:rFonts w:hint="eastAsia" w:ascii="仿宋_GB2312" w:hAnsi="宋体" w:eastAsia="仿宋_GB2312" w:cs="宋体"/>
                <w:color w:val="000000"/>
                <w:kern w:val="0"/>
                <w:sz w:val="24"/>
                <w:szCs w:val="30"/>
              </w:rPr>
              <w:t>指标值≤10%，得10分；10%&lt;指标值≤20%，得5分；20%&lt;指标值≤30%，得3分；指标值&gt;30%，得0分。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6" w:hRule="atLeast"/>
        </w:trPr>
        <w:tc>
          <w:tcPr>
            <w:tcW w:w="3014" w:type="dxa"/>
            <w:gridSpan w:val="2"/>
            <w:tcBorders>
              <w:top w:val="single" w:color="auto" w:sz="4" w:space="0"/>
              <w:bottom w:val="single" w:color="auto" w:sz="12" w:space="0"/>
              <w:right w:val="single" w:color="auto" w:sz="4" w:space="0"/>
            </w:tcBorders>
            <w:vAlign w:val="center"/>
          </w:tcPr>
          <w:p>
            <w:pPr>
              <w:widowControl/>
              <w:jc w:val="center"/>
              <w:rPr>
                <w:rFonts w:ascii="仿宋_GB2312" w:hAnsi="宋体" w:eastAsia="仿宋_GB2312" w:cs="宋体"/>
                <w:color w:val="000000"/>
                <w:kern w:val="0"/>
                <w:sz w:val="24"/>
                <w:szCs w:val="30"/>
              </w:rPr>
            </w:pPr>
            <w:r>
              <w:rPr>
                <w:rFonts w:hint="eastAsia" w:ascii="仿宋_GB2312" w:hAnsi="宋体" w:eastAsia="仿宋_GB2312" w:cs="宋体"/>
                <w:color w:val="000000"/>
                <w:kern w:val="0"/>
                <w:sz w:val="24"/>
                <w:szCs w:val="30"/>
              </w:rPr>
              <w:t>合   计</w:t>
            </w:r>
          </w:p>
        </w:tc>
        <w:tc>
          <w:tcPr>
            <w:tcW w:w="914" w:type="dxa"/>
            <w:tcBorders>
              <w:top w:val="nil"/>
              <w:left w:val="nil"/>
              <w:bottom w:val="single" w:color="auto" w:sz="12" w:space="0"/>
              <w:right w:val="single" w:color="auto" w:sz="4" w:space="0"/>
            </w:tcBorders>
            <w:vAlign w:val="center"/>
          </w:tcPr>
          <w:p>
            <w:pPr>
              <w:widowControl/>
              <w:jc w:val="right"/>
              <w:rPr>
                <w:rFonts w:ascii="仿宋_GB2312" w:hAnsi="仿宋" w:eastAsia="仿宋_GB2312" w:cs="宋体"/>
                <w:color w:val="000000"/>
                <w:kern w:val="0"/>
                <w:sz w:val="24"/>
                <w:szCs w:val="30"/>
              </w:rPr>
            </w:pPr>
            <w:r>
              <w:rPr>
                <w:rFonts w:hint="eastAsia" w:ascii="仿宋_GB2312" w:hAnsi="仿宋" w:eastAsia="仿宋_GB2312" w:cs="宋体"/>
                <w:color w:val="000000"/>
                <w:kern w:val="0"/>
                <w:sz w:val="24"/>
                <w:szCs w:val="30"/>
              </w:rPr>
              <w:t>100</w:t>
            </w:r>
          </w:p>
        </w:tc>
        <w:tc>
          <w:tcPr>
            <w:tcW w:w="4172" w:type="dxa"/>
            <w:tcBorders>
              <w:top w:val="nil"/>
              <w:left w:val="nil"/>
              <w:bottom w:val="single" w:color="auto" w:sz="12" w:space="0"/>
            </w:tcBorders>
            <w:vAlign w:val="top"/>
          </w:tcPr>
          <w:p>
            <w:pPr>
              <w:widowControl/>
              <w:rPr>
                <w:rFonts w:ascii="仿宋_GB2312" w:hAnsi="宋体" w:eastAsia="仿宋_GB2312" w:cs="宋体"/>
                <w:color w:val="000000"/>
                <w:kern w:val="0"/>
                <w:sz w:val="24"/>
                <w:szCs w:val="30"/>
              </w:rPr>
            </w:pPr>
          </w:p>
        </w:tc>
      </w:tr>
    </w:tbl>
    <w:p>
      <w:pPr>
        <w:ind w:firstLine="600" w:firstLineChars="200"/>
        <w:rPr>
          <w:rFonts w:ascii="黑体" w:hAnsi="黑体" w:eastAsia="黑体"/>
          <w:sz w:val="30"/>
          <w:szCs w:val="30"/>
        </w:rPr>
      </w:pPr>
      <w:r>
        <w:rPr>
          <w:rFonts w:hint="eastAsia" w:ascii="黑体" w:hAnsi="黑体" w:eastAsia="黑体"/>
          <w:sz w:val="30"/>
          <w:szCs w:val="30"/>
        </w:rPr>
        <w:t>四、工作内容</w:t>
      </w:r>
    </w:p>
    <w:p>
      <w:pPr>
        <w:ind w:firstLine="602" w:firstLineChars="200"/>
        <w:rPr>
          <w:rFonts w:ascii="仿宋_GB2312" w:eastAsia="仿宋_GB2312"/>
          <w:b/>
          <w:sz w:val="30"/>
          <w:szCs w:val="30"/>
        </w:rPr>
      </w:pPr>
      <w:r>
        <w:rPr>
          <w:rFonts w:hint="eastAsia" w:ascii="仿宋_GB2312" w:eastAsia="仿宋_GB2312"/>
          <w:b/>
          <w:sz w:val="30"/>
          <w:szCs w:val="30"/>
        </w:rPr>
        <w:t>（一）分类标准</w:t>
      </w:r>
    </w:p>
    <w:p>
      <w:pPr>
        <w:ind w:firstLine="600" w:firstLineChars="200"/>
        <w:rPr>
          <w:rFonts w:ascii="仿宋_GB2312" w:eastAsia="仿宋_GB2312"/>
          <w:sz w:val="30"/>
          <w:szCs w:val="30"/>
        </w:rPr>
      </w:pPr>
      <w:r>
        <w:rPr>
          <w:rFonts w:hint="eastAsia" w:ascii="仿宋_GB2312" w:eastAsia="仿宋_GB2312"/>
          <w:sz w:val="30"/>
          <w:szCs w:val="30"/>
        </w:rPr>
        <w:t>根据预警监测指标体系得分，将地方法人银行业金融机构分为三个等级，分别为：</w:t>
      </w:r>
    </w:p>
    <w:p>
      <w:pPr>
        <w:ind w:firstLine="600" w:firstLineChars="200"/>
        <w:rPr>
          <w:rFonts w:ascii="仿宋_GB2312" w:eastAsia="仿宋_GB2312"/>
          <w:sz w:val="30"/>
          <w:szCs w:val="30"/>
        </w:rPr>
      </w:pPr>
      <w:r>
        <w:rPr>
          <w:rFonts w:hint="eastAsia" w:ascii="仿宋_GB2312" w:eastAsia="仿宋_GB2312"/>
          <w:sz w:val="30"/>
          <w:szCs w:val="30"/>
        </w:rPr>
        <w:t>得分&gt;85分，为正常类机构；</w:t>
      </w:r>
      <w:r>
        <w:rPr>
          <w:rFonts w:ascii="仿宋_GB2312" w:eastAsia="仿宋_GB2312"/>
          <w:sz w:val="30"/>
          <w:szCs w:val="30"/>
        </w:rPr>
        <w:t xml:space="preserve"> </w:t>
      </w:r>
      <w:r>
        <w:rPr>
          <w:rFonts w:hint="eastAsia" w:ascii="仿宋_GB2312" w:eastAsia="仿宋_GB2312"/>
          <w:sz w:val="30"/>
          <w:szCs w:val="30"/>
        </w:rPr>
        <w:t xml:space="preserve">    </w:t>
      </w:r>
    </w:p>
    <w:p>
      <w:pPr>
        <w:ind w:firstLine="600" w:firstLineChars="200"/>
        <w:rPr>
          <w:rFonts w:ascii="仿宋_GB2312" w:eastAsia="仿宋_GB2312"/>
          <w:sz w:val="30"/>
          <w:szCs w:val="30"/>
        </w:rPr>
      </w:pPr>
      <w:r>
        <w:rPr>
          <w:rFonts w:hint="eastAsia" w:ascii="仿宋_GB2312" w:eastAsia="仿宋_GB2312"/>
          <w:sz w:val="30"/>
          <w:szCs w:val="30"/>
        </w:rPr>
        <w:t>75分&lt;得分≤85分，为监测类机构；</w:t>
      </w:r>
    </w:p>
    <w:p>
      <w:pPr>
        <w:ind w:firstLine="600" w:firstLineChars="200"/>
        <w:rPr>
          <w:rFonts w:ascii="仿宋_GB2312" w:eastAsia="仿宋_GB2312"/>
          <w:sz w:val="30"/>
          <w:szCs w:val="30"/>
        </w:rPr>
      </w:pPr>
      <w:r>
        <w:rPr>
          <w:rFonts w:hint="eastAsia" w:ascii="仿宋_GB2312" w:eastAsia="仿宋_GB2312"/>
          <w:sz w:val="30"/>
          <w:szCs w:val="30"/>
        </w:rPr>
        <w:t>65分&lt;得分≤75分，为预警类机构；</w:t>
      </w:r>
    </w:p>
    <w:p>
      <w:pPr>
        <w:ind w:firstLine="600" w:firstLineChars="200"/>
        <w:rPr>
          <w:rFonts w:ascii="仿宋_GB2312" w:eastAsia="仿宋_GB2312"/>
          <w:sz w:val="30"/>
          <w:szCs w:val="30"/>
        </w:rPr>
      </w:pPr>
      <w:r>
        <w:rPr>
          <w:rFonts w:hint="eastAsia" w:ascii="仿宋_GB2312" w:eastAsia="仿宋_GB2312"/>
          <w:sz w:val="30"/>
          <w:szCs w:val="30"/>
        </w:rPr>
        <w:t>55分&lt;得分≤65分，为干预类机构。</w:t>
      </w:r>
    </w:p>
    <w:p>
      <w:pPr>
        <w:ind w:firstLine="602" w:firstLineChars="200"/>
        <w:rPr>
          <w:rFonts w:ascii="仿宋_GB2312" w:eastAsia="仿宋_GB2312"/>
          <w:b/>
          <w:sz w:val="30"/>
          <w:szCs w:val="30"/>
        </w:rPr>
      </w:pPr>
      <w:r>
        <w:rPr>
          <w:rFonts w:hint="eastAsia" w:ascii="仿宋_GB2312" w:eastAsia="仿宋_GB2312"/>
          <w:b/>
          <w:sz w:val="30"/>
          <w:szCs w:val="30"/>
        </w:rPr>
        <w:t>（二）工作内容</w:t>
      </w:r>
    </w:p>
    <w:tbl>
      <w:tblPr>
        <w:tblStyle w:val="6"/>
        <w:tblW w:w="8522"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76"/>
        <w:gridCol w:w="2333"/>
        <w:gridCol w:w="2857"/>
        <w:gridCol w:w="215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76" w:type="dxa"/>
            <w:vAlign w:val="center"/>
          </w:tcPr>
          <w:p>
            <w:pPr>
              <w:widowControl/>
              <w:jc w:val="center"/>
              <w:rPr>
                <w:rFonts w:ascii="仿宋_GB2312" w:hAnsi="宋体" w:eastAsia="仿宋_GB2312" w:cs="宋体"/>
                <w:color w:val="000000"/>
                <w:kern w:val="0"/>
                <w:sz w:val="24"/>
                <w:szCs w:val="30"/>
              </w:rPr>
            </w:pPr>
            <w:r>
              <w:rPr>
                <w:rFonts w:hint="eastAsia" w:ascii="仿宋_GB2312" w:hAnsi="宋体" w:eastAsia="仿宋_GB2312" w:cs="宋体"/>
                <w:color w:val="000000"/>
                <w:kern w:val="0"/>
                <w:sz w:val="24"/>
                <w:szCs w:val="30"/>
              </w:rPr>
              <w:t>机构类型</w:t>
            </w:r>
          </w:p>
        </w:tc>
        <w:tc>
          <w:tcPr>
            <w:tcW w:w="2333" w:type="dxa"/>
            <w:vAlign w:val="center"/>
          </w:tcPr>
          <w:p>
            <w:pPr>
              <w:widowControl/>
              <w:jc w:val="center"/>
              <w:rPr>
                <w:rFonts w:ascii="仿宋_GB2312" w:hAnsi="宋体" w:eastAsia="仿宋_GB2312" w:cs="宋体"/>
                <w:color w:val="000000"/>
                <w:kern w:val="0"/>
                <w:sz w:val="24"/>
                <w:szCs w:val="30"/>
              </w:rPr>
            </w:pPr>
            <w:r>
              <w:rPr>
                <w:rFonts w:hint="eastAsia" w:ascii="仿宋_GB2312" w:hAnsi="宋体" w:eastAsia="仿宋_GB2312" w:cs="宋体"/>
                <w:color w:val="000000"/>
                <w:kern w:val="0"/>
                <w:sz w:val="24"/>
                <w:szCs w:val="30"/>
              </w:rPr>
              <w:t>人民银行</w:t>
            </w:r>
          </w:p>
        </w:tc>
        <w:tc>
          <w:tcPr>
            <w:tcW w:w="2857" w:type="dxa"/>
            <w:vAlign w:val="center"/>
          </w:tcPr>
          <w:p>
            <w:pPr>
              <w:widowControl/>
              <w:jc w:val="center"/>
              <w:rPr>
                <w:rFonts w:ascii="仿宋_GB2312" w:hAnsi="宋体" w:eastAsia="仿宋_GB2312" w:cs="宋体"/>
                <w:color w:val="000000"/>
                <w:kern w:val="0"/>
                <w:sz w:val="24"/>
                <w:szCs w:val="30"/>
              </w:rPr>
            </w:pPr>
            <w:r>
              <w:rPr>
                <w:rFonts w:hint="eastAsia" w:ascii="仿宋_GB2312" w:hAnsi="宋体" w:eastAsia="仿宋_GB2312" w:cs="宋体"/>
                <w:color w:val="000000"/>
                <w:kern w:val="0"/>
                <w:sz w:val="24"/>
                <w:szCs w:val="30"/>
              </w:rPr>
              <w:t>地方法人银行业金融机构</w:t>
            </w:r>
          </w:p>
        </w:tc>
        <w:tc>
          <w:tcPr>
            <w:tcW w:w="2156" w:type="dxa"/>
            <w:vAlign w:val="top"/>
          </w:tcPr>
          <w:p>
            <w:pPr>
              <w:widowControl/>
              <w:jc w:val="center"/>
              <w:rPr>
                <w:rFonts w:ascii="仿宋_GB2312" w:hAnsi="宋体" w:eastAsia="仿宋_GB2312" w:cs="宋体"/>
                <w:color w:val="000000"/>
                <w:kern w:val="0"/>
                <w:sz w:val="24"/>
                <w:szCs w:val="30"/>
              </w:rPr>
            </w:pPr>
            <w:r>
              <w:rPr>
                <w:rFonts w:hint="eastAsia" w:ascii="仿宋_GB2312" w:hAnsi="宋体" w:eastAsia="仿宋_GB2312" w:cs="宋体"/>
                <w:color w:val="000000"/>
                <w:kern w:val="0"/>
                <w:sz w:val="24"/>
                <w:szCs w:val="30"/>
              </w:rPr>
              <w:t>村镇银行发起行</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250" w:hRule="atLeast"/>
        </w:trPr>
        <w:tc>
          <w:tcPr>
            <w:tcW w:w="1176" w:type="dxa"/>
            <w:vAlign w:val="center"/>
          </w:tcPr>
          <w:p>
            <w:pPr>
              <w:widowControl/>
              <w:jc w:val="left"/>
              <w:rPr>
                <w:rFonts w:ascii="仿宋_GB2312" w:hAnsi="宋体" w:eastAsia="仿宋_GB2312" w:cs="宋体"/>
                <w:color w:val="000000"/>
                <w:kern w:val="0"/>
                <w:sz w:val="24"/>
                <w:szCs w:val="30"/>
              </w:rPr>
            </w:pPr>
            <w:r>
              <w:rPr>
                <w:rFonts w:hint="eastAsia" w:ascii="仿宋_GB2312" w:hAnsi="宋体" w:eastAsia="仿宋_GB2312" w:cs="宋体"/>
                <w:color w:val="000000"/>
                <w:kern w:val="0"/>
                <w:sz w:val="24"/>
                <w:szCs w:val="30"/>
              </w:rPr>
              <w:t>监测类</w:t>
            </w:r>
          </w:p>
        </w:tc>
        <w:tc>
          <w:tcPr>
            <w:tcW w:w="2333" w:type="dxa"/>
            <w:vAlign w:val="center"/>
          </w:tcPr>
          <w:p>
            <w:pPr>
              <w:widowControl/>
              <w:spacing w:after="240"/>
              <w:rPr>
                <w:rFonts w:ascii="仿宋_GB2312" w:hAnsi="宋体" w:eastAsia="仿宋_GB2312" w:cs="宋体"/>
                <w:color w:val="000000"/>
                <w:kern w:val="0"/>
                <w:sz w:val="24"/>
                <w:szCs w:val="30"/>
              </w:rPr>
            </w:pPr>
            <w:r>
              <w:rPr>
                <w:rFonts w:hint="eastAsia" w:ascii="仿宋_GB2312" w:hAnsi="宋体" w:eastAsia="仿宋_GB2312" w:cs="宋体"/>
                <w:color w:val="000000"/>
                <w:kern w:val="0"/>
                <w:sz w:val="24"/>
                <w:szCs w:val="30"/>
              </w:rPr>
              <w:t>1.设立监测专员，负责收集、分析预警监测指标体系数据。</w:t>
            </w:r>
            <w:r>
              <w:rPr>
                <w:rFonts w:hint="eastAsia" w:ascii="仿宋_GB2312" w:hAnsi="宋体" w:eastAsia="仿宋_GB2312" w:cs="宋体"/>
                <w:color w:val="000000"/>
                <w:kern w:val="0"/>
                <w:sz w:val="24"/>
                <w:szCs w:val="30"/>
              </w:rPr>
              <w:br/>
            </w:r>
            <w:r>
              <w:rPr>
                <w:rFonts w:hint="eastAsia" w:ascii="仿宋_GB2312" w:hAnsi="宋体" w:eastAsia="仿宋_GB2312" w:cs="宋体"/>
                <w:color w:val="000000"/>
                <w:kern w:val="0"/>
                <w:sz w:val="24"/>
                <w:szCs w:val="30"/>
              </w:rPr>
              <w:t>2.定期监测机构数据指标变动情况，时间期限为连续三个季度。</w:t>
            </w:r>
            <w:r>
              <w:rPr>
                <w:rFonts w:hint="eastAsia" w:ascii="仿宋_GB2312" w:hAnsi="宋体" w:eastAsia="仿宋_GB2312" w:cs="宋体"/>
                <w:color w:val="000000"/>
                <w:kern w:val="0"/>
                <w:sz w:val="24"/>
                <w:szCs w:val="30"/>
              </w:rPr>
              <w:br/>
            </w:r>
          </w:p>
        </w:tc>
        <w:tc>
          <w:tcPr>
            <w:tcW w:w="2857" w:type="dxa"/>
            <w:vAlign w:val="center"/>
          </w:tcPr>
          <w:p>
            <w:pPr>
              <w:widowControl/>
              <w:rPr>
                <w:rFonts w:ascii="仿宋_GB2312" w:hAnsi="宋体" w:eastAsia="仿宋_GB2312" w:cs="宋体"/>
                <w:color w:val="000000"/>
                <w:kern w:val="0"/>
                <w:sz w:val="24"/>
                <w:szCs w:val="30"/>
              </w:rPr>
            </w:pPr>
            <w:r>
              <w:rPr>
                <w:rFonts w:hint="eastAsia" w:ascii="仿宋_GB2312" w:hAnsi="宋体" w:eastAsia="仿宋_GB2312" w:cs="宋体"/>
                <w:color w:val="000000"/>
                <w:kern w:val="0"/>
                <w:sz w:val="24"/>
                <w:szCs w:val="30"/>
              </w:rPr>
              <w:t>1.解释、说明主要指标变化原因，分析指标变化趋势。</w:t>
            </w:r>
            <w:r>
              <w:rPr>
                <w:rFonts w:hint="eastAsia" w:ascii="仿宋_GB2312" w:hAnsi="宋体" w:eastAsia="仿宋_GB2312" w:cs="宋体"/>
                <w:color w:val="000000"/>
                <w:kern w:val="0"/>
                <w:sz w:val="24"/>
                <w:szCs w:val="30"/>
              </w:rPr>
              <w:br/>
            </w:r>
            <w:r>
              <w:rPr>
                <w:rFonts w:hint="eastAsia" w:ascii="仿宋_GB2312" w:hAnsi="宋体" w:eastAsia="仿宋_GB2312" w:cs="宋体"/>
                <w:color w:val="000000"/>
                <w:kern w:val="0"/>
                <w:sz w:val="24"/>
                <w:szCs w:val="30"/>
              </w:rPr>
              <w:t>2.定期监测、上报数据指标变动情况。</w:t>
            </w:r>
          </w:p>
          <w:p>
            <w:pPr>
              <w:widowControl/>
              <w:rPr>
                <w:rFonts w:ascii="仿宋_GB2312" w:hAnsi="宋体" w:eastAsia="仿宋_GB2312" w:cs="宋体"/>
                <w:color w:val="000000"/>
                <w:kern w:val="0"/>
                <w:sz w:val="24"/>
                <w:szCs w:val="30"/>
              </w:rPr>
            </w:pPr>
          </w:p>
        </w:tc>
        <w:tc>
          <w:tcPr>
            <w:tcW w:w="2156" w:type="dxa"/>
            <w:vAlign w:val="center"/>
          </w:tcPr>
          <w:p>
            <w:pPr>
              <w:widowControl/>
              <w:rPr>
                <w:rFonts w:ascii="仿宋_GB2312" w:hAnsi="宋体" w:eastAsia="仿宋_GB2312" w:cs="宋体"/>
                <w:color w:val="000000"/>
                <w:kern w:val="0"/>
                <w:sz w:val="24"/>
                <w:szCs w:val="30"/>
              </w:rPr>
            </w:pPr>
            <w:r>
              <w:rPr>
                <w:rFonts w:hint="eastAsia" w:ascii="仿宋_GB2312" w:hAnsi="宋体" w:eastAsia="仿宋_GB2312" w:cs="宋体"/>
                <w:color w:val="000000"/>
                <w:kern w:val="0"/>
                <w:sz w:val="24"/>
                <w:szCs w:val="30"/>
              </w:rPr>
              <w:t>定期监测数据指标变动情况。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130" w:hRule="atLeast"/>
        </w:trPr>
        <w:tc>
          <w:tcPr>
            <w:tcW w:w="1176" w:type="dxa"/>
            <w:vAlign w:val="center"/>
          </w:tcPr>
          <w:p>
            <w:pPr>
              <w:widowControl/>
              <w:jc w:val="left"/>
              <w:rPr>
                <w:rFonts w:ascii="仿宋_GB2312" w:hAnsi="宋体" w:eastAsia="仿宋_GB2312" w:cs="宋体"/>
                <w:color w:val="000000"/>
                <w:kern w:val="0"/>
                <w:sz w:val="24"/>
                <w:szCs w:val="30"/>
              </w:rPr>
            </w:pPr>
            <w:r>
              <w:rPr>
                <w:rFonts w:hint="eastAsia" w:ascii="仿宋_GB2312" w:hAnsi="宋体" w:eastAsia="仿宋_GB2312" w:cs="宋体"/>
                <w:color w:val="000000"/>
                <w:kern w:val="0"/>
                <w:sz w:val="24"/>
                <w:szCs w:val="30"/>
              </w:rPr>
              <w:t>预警类</w:t>
            </w:r>
          </w:p>
        </w:tc>
        <w:tc>
          <w:tcPr>
            <w:tcW w:w="2333" w:type="dxa"/>
            <w:vAlign w:val="center"/>
          </w:tcPr>
          <w:p>
            <w:pPr>
              <w:widowControl/>
              <w:jc w:val="left"/>
              <w:rPr>
                <w:rFonts w:ascii="仿宋_GB2312" w:hAnsi="宋体" w:eastAsia="仿宋_GB2312" w:cs="宋体"/>
                <w:color w:val="000000"/>
                <w:kern w:val="0"/>
                <w:sz w:val="24"/>
                <w:szCs w:val="30"/>
              </w:rPr>
            </w:pPr>
            <w:r>
              <w:rPr>
                <w:rFonts w:hint="eastAsia" w:ascii="仿宋_GB2312" w:hAnsi="宋体" w:eastAsia="仿宋_GB2312" w:cs="宋体"/>
                <w:color w:val="000000"/>
                <w:kern w:val="0"/>
                <w:sz w:val="24"/>
                <w:szCs w:val="30"/>
              </w:rPr>
              <w:t>1.设立工作专员，负责收集、上报预警监测指标体系数据。</w:t>
            </w:r>
            <w:r>
              <w:rPr>
                <w:rFonts w:hint="eastAsia" w:ascii="仿宋_GB2312" w:hAnsi="宋体" w:eastAsia="仿宋_GB2312" w:cs="宋体"/>
                <w:color w:val="000000"/>
                <w:kern w:val="0"/>
                <w:sz w:val="24"/>
                <w:szCs w:val="30"/>
              </w:rPr>
              <w:br/>
            </w:r>
            <w:r>
              <w:rPr>
                <w:rFonts w:hint="eastAsia" w:ascii="仿宋_GB2312" w:hAnsi="宋体" w:eastAsia="仿宋_GB2312" w:cs="宋体"/>
                <w:color w:val="000000"/>
                <w:kern w:val="0"/>
                <w:sz w:val="24"/>
                <w:szCs w:val="30"/>
              </w:rPr>
              <w:t>2.收集辖区风险预警监测指标体系数据变动报告，分析研判辖区机构数据变动原因及变动趋势。</w:t>
            </w:r>
            <w:r>
              <w:rPr>
                <w:rFonts w:hint="eastAsia" w:ascii="仿宋_GB2312" w:hAnsi="宋体" w:eastAsia="仿宋_GB2312" w:cs="宋体"/>
                <w:color w:val="000000"/>
                <w:kern w:val="0"/>
                <w:sz w:val="24"/>
                <w:szCs w:val="30"/>
              </w:rPr>
              <w:br/>
            </w:r>
            <w:r>
              <w:rPr>
                <w:rFonts w:hint="eastAsia" w:ascii="仿宋_GB2312" w:hAnsi="宋体" w:eastAsia="仿宋_GB2312" w:cs="宋体"/>
                <w:color w:val="000000"/>
                <w:kern w:val="0"/>
                <w:sz w:val="24"/>
                <w:szCs w:val="30"/>
              </w:rPr>
              <w:t>3.视情况开展现场核查，采取约见谈话或风险提示等方式，进行风险预警。</w:t>
            </w:r>
          </w:p>
          <w:p>
            <w:pPr>
              <w:widowControl/>
              <w:jc w:val="left"/>
              <w:rPr>
                <w:rFonts w:ascii="仿宋_GB2312" w:hAnsi="宋体" w:eastAsia="仿宋_GB2312" w:cs="宋体"/>
                <w:color w:val="000000"/>
                <w:kern w:val="0"/>
                <w:sz w:val="24"/>
                <w:szCs w:val="30"/>
              </w:rPr>
            </w:pPr>
            <w:r>
              <w:rPr>
                <w:rFonts w:hint="eastAsia" w:ascii="仿宋_GB2312" w:hAnsi="宋体" w:eastAsia="仿宋_GB2312" w:cs="宋体"/>
                <w:color w:val="000000"/>
                <w:kern w:val="0"/>
                <w:sz w:val="24"/>
                <w:szCs w:val="30"/>
              </w:rPr>
              <w:t>4.如预警机构为村镇银行，其发起行不在赤峰市内的，向其发起行及发起行所在地人民银行通报村镇银行风险情况。</w:t>
            </w:r>
          </w:p>
        </w:tc>
        <w:tc>
          <w:tcPr>
            <w:tcW w:w="2857" w:type="dxa"/>
            <w:vAlign w:val="center"/>
          </w:tcPr>
          <w:p>
            <w:pPr>
              <w:widowControl/>
              <w:jc w:val="left"/>
              <w:rPr>
                <w:rFonts w:ascii="仿宋_GB2312" w:hAnsi="宋体" w:eastAsia="仿宋_GB2312" w:cs="宋体"/>
                <w:color w:val="000000"/>
                <w:kern w:val="0"/>
                <w:sz w:val="24"/>
                <w:szCs w:val="30"/>
              </w:rPr>
            </w:pPr>
            <w:r>
              <w:rPr>
                <w:rFonts w:hint="eastAsia" w:ascii="仿宋_GB2312" w:hAnsi="宋体" w:eastAsia="仿宋_GB2312" w:cs="宋体"/>
                <w:color w:val="000000"/>
                <w:kern w:val="0"/>
                <w:sz w:val="24"/>
                <w:szCs w:val="30"/>
              </w:rPr>
              <w:t>1.设立工作专员，解释、说明主要指标变化原因，分析指标变化趋势。</w:t>
            </w:r>
            <w:r>
              <w:rPr>
                <w:rFonts w:hint="eastAsia" w:ascii="仿宋_GB2312" w:hAnsi="宋体" w:eastAsia="仿宋_GB2312" w:cs="宋体"/>
                <w:color w:val="000000"/>
                <w:kern w:val="0"/>
                <w:sz w:val="24"/>
                <w:szCs w:val="30"/>
              </w:rPr>
              <w:br/>
            </w:r>
            <w:r>
              <w:rPr>
                <w:rFonts w:hint="eastAsia" w:ascii="仿宋_GB2312" w:hAnsi="宋体" w:eastAsia="仿宋_GB2312" w:cs="宋体"/>
                <w:color w:val="000000"/>
                <w:kern w:val="0"/>
                <w:sz w:val="24"/>
                <w:szCs w:val="30"/>
              </w:rPr>
              <w:t>2.召开高级管理层会议，研讨机构经营状况和指标变动情况。撰写风险预警监测指标体系数据变动报告，制定下一步工作措施。</w:t>
            </w:r>
          </w:p>
          <w:p>
            <w:pPr>
              <w:widowControl/>
              <w:jc w:val="left"/>
              <w:rPr>
                <w:rFonts w:ascii="仿宋_GB2312" w:hAnsi="宋体" w:eastAsia="仿宋_GB2312" w:cs="宋体"/>
                <w:color w:val="000000"/>
                <w:kern w:val="0"/>
                <w:sz w:val="24"/>
                <w:szCs w:val="30"/>
              </w:rPr>
            </w:pPr>
          </w:p>
        </w:tc>
        <w:tc>
          <w:tcPr>
            <w:tcW w:w="2156" w:type="dxa"/>
            <w:vAlign w:val="center"/>
          </w:tcPr>
          <w:p>
            <w:pPr>
              <w:widowControl/>
              <w:rPr>
                <w:rFonts w:ascii="仿宋_GB2312" w:hAnsi="宋体" w:eastAsia="仿宋_GB2312" w:cs="宋体"/>
                <w:color w:val="000000"/>
                <w:kern w:val="0"/>
                <w:sz w:val="24"/>
                <w:szCs w:val="30"/>
              </w:rPr>
            </w:pPr>
            <w:r>
              <w:rPr>
                <w:rFonts w:hint="eastAsia" w:ascii="仿宋_GB2312" w:hAnsi="宋体" w:eastAsia="仿宋_GB2312" w:cs="宋体"/>
                <w:color w:val="000000"/>
                <w:kern w:val="0"/>
                <w:sz w:val="24"/>
                <w:szCs w:val="30"/>
              </w:rPr>
              <w:t>设立工作专员，向所在地人民银行同时报送对村镇银行风险情况的分析研判。</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80" w:hRule="atLeast"/>
        </w:trPr>
        <w:tc>
          <w:tcPr>
            <w:tcW w:w="1176" w:type="dxa"/>
            <w:vAlign w:val="center"/>
          </w:tcPr>
          <w:p>
            <w:pPr>
              <w:widowControl/>
              <w:jc w:val="left"/>
              <w:rPr>
                <w:rFonts w:ascii="仿宋_GB2312" w:hAnsi="宋体" w:eastAsia="仿宋_GB2312" w:cs="宋体"/>
                <w:color w:val="000000"/>
                <w:kern w:val="0"/>
                <w:sz w:val="24"/>
                <w:szCs w:val="30"/>
              </w:rPr>
            </w:pPr>
            <w:r>
              <w:rPr>
                <w:rFonts w:hint="eastAsia" w:ascii="仿宋_GB2312" w:hAnsi="宋体" w:eastAsia="仿宋_GB2312" w:cs="宋体"/>
                <w:color w:val="000000"/>
                <w:kern w:val="0"/>
                <w:sz w:val="24"/>
                <w:szCs w:val="30"/>
              </w:rPr>
              <w:t>干预类</w:t>
            </w:r>
          </w:p>
        </w:tc>
        <w:tc>
          <w:tcPr>
            <w:tcW w:w="2333" w:type="dxa"/>
            <w:vAlign w:val="center"/>
          </w:tcPr>
          <w:p>
            <w:pPr>
              <w:widowControl/>
              <w:jc w:val="left"/>
              <w:rPr>
                <w:rFonts w:ascii="仿宋_GB2312" w:hAnsi="宋体" w:eastAsia="仿宋_GB2312" w:cs="宋体"/>
                <w:color w:val="000000"/>
                <w:kern w:val="0"/>
                <w:sz w:val="24"/>
                <w:szCs w:val="30"/>
              </w:rPr>
            </w:pPr>
            <w:r>
              <w:rPr>
                <w:rFonts w:hint="eastAsia" w:ascii="仿宋_GB2312" w:hAnsi="宋体" w:eastAsia="仿宋_GB2312" w:cs="宋体"/>
                <w:color w:val="000000"/>
                <w:kern w:val="0"/>
                <w:sz w:val="24"/>
                <w:szCs w:val="30"/>
              </w:rPr>
              <w:t>1.要求机构制定整改工作方案，包括详细的工作举措、目标和化解期限，关注整改工作进展。</w:t>
            </w:r>
            <w:r>
              <w:rPr>
                <w:rFonts w:hint="eastAsia" w:ascii="仿宋_GB2312" w:hAnsi="宋体" w:eastAsia="仿宋_GB2312" w:cs="宋体"/>
                <w:color w:val="000000"/>
                <w:kern w:val="0"/>
                <w:sz w:val="24"/>
                <w:szCs w:val="30"/>
              </w:rPr>
              <w:br/>
            </w:r>
            <w:r>
              <w:rPr>
                <w:rFonts w:hint="eastAsia" w:ascii="仿宋_GB2312" w:hAnsi="宋体" w:eastAsia="仿宋_GB2312" w:cs="宋体"/>
                <w:color w:val="000000"/>
                <w:kern w:val="0"/>
                <w:sz w:val="24"/>
                <w:szCs w:val="30"/>
              </w:rPr>
              <w:t>2.对在整改期限内未达到整改目标、或风险进一步上升的，进行现场核查，根据核查情况采取相应措施。</w:t>
            </w:r>
            <w:r>
              <w:rPr>
                <w:rFonts w:hint="eastAsia" w:ascii="仿宋_GB2312" w:hAnsi="宋体" w:eastAsia="仿宋_GB2312" w:cs="宋体"/>
                <w:color w:val="000000"/>
                <w:kern w:val="0"/>
                <w:sz w:val="24"/>
                <w:szCs w:val="30"/>
              </w:rPr>
              <w:br/>
            </w:r>
            <w:r>
              <w:rPr>
                <w:rFonts w:hint="eastAsia" w:ascii="仿宋_GB2312" w:hAnsi="宋体" w:eastAsia="仿宋_GB2312" w:cs="宋体"/>
                <w:color w:val="000000"/>
                <w:kern w:val="0"/>
                <w:sz w:val="24"/>
                <w:szCs w:val="30"/>
              </w:rPr>
              <w:t>3.对经现场核查有可能成为高风险机构的，向上级行报送核查情况，提出是否进行早期纠正的意见。</w:t>
            </w:r>
          </w:p>
          <w:p>
            <w:pPr>
              <w:widowControl/>
              <w:jc w:val="left"/>
              <w:rPr>
                <w:rFonts w:ascii="仿宋_GB2312" w:hAnsi="宋体" w:eastAsia="仿宋_GB2312" w:cs="宋体"/>
                <w:color w:val="000000"/>
                <w:kern w:val="0"/>
                <w:sz w:val="24"/>
                <w:szCs w:val="30"/>
              </w:rPr>
            </w:pPr>
            <w:r>
              <w:rPr>
                <w:rFonts w:hint="eastAsia" w:ascii="仿宋_GB2312" w:hAnsi="宋体" w:eastAsia="仿宋_GB2312" w:cs="宋体"/>
                <w:color w:val="000000"/>
                <w:kern w:val="0"/>
                <w:sz w:val="24"/>
                <w:szCs w:val="30"/>
              </w:rPr>
              <w:t>4.如干预类机构为村镇银行，其发起行在赤峰市内的，向其发起行通报风险情况，要求其发起行报送风险化解工作计划。</w:t>
            </w:r>
          </w:p>
          <w:p>
            <w:pPr>
              <w:widowControl/>
              <w:jc w:val="left"/>
              <w:rPr>
                <w:rFonts w:ascii="仿宋_GB2312" w:hAnsi="宋体" w:eastAsia="仿宋_GB2312" w:cs="宋体"/>
                <w:color w:val="000000"/>
                <w:kern w:val="0"/>
                <w:sz w:val="24"/>
                <w:szCs w:val="30"/>
              </w:rPr>
            </w:pPr>
            <w:r>
              <w:rPr>
                <w:rFonts w:hint="eastAsia" w:ascii="仿宋_GB2312" w:hAnsi="宋体" w:eastAsia="仿宋_GB2312" w:cs="宋体"/>
                <w:color w:val="000000"/>
                <w:kern w:val="0"/>
                <w:sz w:val="24"/>
                <w:szCs w:val="30"/>
              </w:rPr>
              <w:t>5.如干预类机构为村镇银行，其发起行不在赤峰市内的，向其发起行及发起行所在地人民银行通报村镇银行风险情况。</w:t>
            </w:r>
            <w:r>
              <w:rPr>
                <w:rFonts w:hint="eastAsia" w:ascii="仿宋_GB2312" w:hAnsi="宋体" w:eastAsia="仿宋_GB2312" w:cs="宋体"/>
                <w:color w:val="000000"/>
                <w:kern w:val="0"/>
                <w:sz w:val="24"/>
                <w:szCs w:val="30"/>
              </w:rPr>
              <w:br/>
            </w:r>
          </w:p>
          <w:p>
            <w:pPr>
              <w:widowControl/>
              <w:jc w:val="left"/>
              <w:rPr>
                <w:rFonts w:ascii="仿宋_GB2312" w:hAnsi="宋体" w:eastAsia="仿宋_GB2312" w:cs="宋体"/>
                <w:color w:val="000000"/>
                <w:kern w:val="0"/>
                <w:sz w:val="24"/>
                <w:szCs w:val="30"/>
              </w:rPr>
            </w:pPr>
          </w:p>
        </w:tc>
        <w:tc>
          <w:tcPr>
            <w:tcW w:w="2857" w:type="dxa"/>
            <w:vAlign w:val="center"/>
          </w:tcPr>
          <w:p>
            <w:pPr>
              <w:widowControl/>
              <w:jc w:val="left"/>
              <w:rPr>
                <w:rFonts w:ascii="仿宋_GB2312" w:hAnsi="宋体" w:eastAsia="仿宋_GB2312" w:cs="宋体"/>
                <w:color w:val="000000"/>
                <w:kern w:val="0"/>
                <w:sz w:val="24"/>
                <w:szCs w:val="30"/>
              </w:rPr>
            </w:pPr>
            <w:r>
              <w:rPr>
                <w:rFonts w:hint="eastAsia" w:ascii="仿宋_GB2312" w:hAnsi="宋体" w:eastAsia="仿宋_GB2312" w:cs="宋体"/>
                <w:color w:val="000000"/>
                <w:kern w:val="0"/>
                <w:sz w:val="24"/>
                <w:szCs w:val="30"/>
              </w:rPr>
              <w:t>1.设立工作专员，解释、说明主要指标变化原因，分析指标变化趋势。</w:t>
            </w:r>
            <w:r>
              <w:rPr>
                <w:rFonts w:hint="eastAsia" w:ascii="仿宋_GB2312" w:hAnsi="宋体" w:eastAsia="仿宋_GB2312" w:cs="宋体"/>
                <w:color w:val="000000"/>
                <w:kern w:val="0"/>
                <w:sz w:val="24"/>
                <w:szCs w:val="30"/>
              </w:rPr>
              <w:br/>
            </w:r>
            <w:r>
              <w:rPr>
                <w:rFonts w:hint="eastAsia" w:ascii="仿宋_GB2312" w:hAnsi="宋体" w:eastAsia="仿宋_GB2312" w:cs="宋体"/>
                <w:color w:val="000000"/>
                <w:kern w:val="0"/>
                <w:sz w:val="24"/>
                <w:szCs w:val="30"/>
              </w:rPr>
              <w:t>2.召开高级管理层会议，制定风险化解工作方案，包括详细的工作举措和化解期限。</w:t>
            </w:r>
            <w:r>
              <w:rPr>
                <w:rFonts w:hint="eastAsia" w:ascii="仿宋_GB2312" w:hAnsi="宋体" w:eastAsia="仿宋_GB2312" w:cs="宋体"/>
                <w:color w:val="000000"/>
                <w:kern w:val="0"/>
                <w:sz w:val="24"/>
                <w:szCs w:val="30"/>
              </w:rPr>
              <w:br/>
            </w:r>
            <w:r>
              <w:rPr>
                <w:rFonts w:hint="eastAsia" w:ascii="仿宋_GB2312" w:hAnsi="宋体" w:eastAsia="仿宋_GB2312" w:cs="宋体"/>
                <w:color w:val="000000"/>
                <w:kern w:val="0"/>
                <w:sz w:val="24"/>
                <w:szCs w:val="30"/>
              </w:rPr>
              <w:t>3.定期报送整改工作进展。</w:t>
            </w:r>
          </w:p>
          <w:p>
            <w:pPr>
              <w:widowControl/>
              <w:jc w:val="left"/>
              <w:rPr>
                <w:rFonts w:ascii="仿宋_GB2312" w:hAnsi="宋体" w:eastAsia="仿宋_GB2312" w:cs="宋体"/>
                <w:color w:val="000000"/>
                <w:kern w:val="0"/>
                <w:sz w:val="24"/>
                <w:szCs w:val="30"/>
              </w:rPr>
            </w:pPr>
            <w:r>
              <w:rPr>
                <w:rFonts w:hint="eastAsia" w:ascii="仿宋_GB2312" w:hAnsi="宋体" w:eastAsia="仿宋_GB2312" w:cs="宋体"/>
                <w:color w:val="000000"/>
                <w:kern w:val="0"/>
                <w:sz w:val="24"/>
                <w:szCs w:val="30"/>
              </w:rPr>
              <w:t>4.在整改措施无法取得预期效果或风险有可能进一步上升时，及时向人民银行上报。</w:t>
            </w:r>
          </w:p>
          <w:p>
            <w:pPr>
              <w:widowControl/>
              <w:jc w:val="left"/>
              <w:rPr>
                <w:rFonts w:ascii="仿宋_GB2312" w:hAnsi="宋体" w:eastAsia="仿宋_GB2312" w:cs="宋体"/>
                <w:color w:val="000000"/>
                <w:kern w:val="0"/>
                <w:sz w:val="24"/>
                <w:szCs w:val="30"/>
              </w:rPr>
            </w:pPr>
          </w:p>
        </w:tc>
        <w:tc>
          <w:tcPr>
            <w:tcW w:w="2156" w:type="dxa"/>
            <w:vAlign w:val="center"/>
          </w:tcPr>
          <w:p>
            <w:pPr>
              <w:widowControl/>
              <w:rPr>
                <w:rFonts w:ascii="仿宋_GB2312" w:hAnsi="宋体" w:eastAsia="仿宋_GB2312" w:cs="宋体"/>
                <w:color w:val="000000"/>
                <w:kern w:val="0"/>
                <w:sz w:val="24"/>
                <w:szCs w:val="30"/>
              </w:rPr>
            </w:pPr>
            <w:r>
              <w:rPr>
                <w:rFonts w:hint="eastAsia" w:ascii="仿宋_GB2312" w:hAnsi="宋体" w:eastAsia="仿宋_GB2312" w:cs="宋体"/>
                <w:color w:val="000000"/>
                <w:kern w:val="0"/>
                <w:sz w:val="24"/>
                <w:szCs w:val="30"/>
              </w:rPr>
              <w:t>1.设立工作专员，分析指标变化趋势，定期进行分析研判并向所在地人民银行报送。</w:t>
            </w:r>
          </w:p>
          <w:p>
            <w:pPr>
              <w:widowControl/>
              <w:rPr>
                <w:rFonts w:ascii="仿宋_GB2312" w:hAnsi="宋体" w:eastAsia="仿宋_GB2312" w:cs="宋体"/>
                <w:color w:val="000000"/>
                <w:kern w:val="0"/>
                <w:sz w:val="24"/>
                <w:szCs w:val="30"/>
              </w:rPr>
            </w:pPr>
            <w:r>
              <w:rPr>
                <w:rFonts w:hint="eastAsia" w:ascii="仿宋_GB2312" w:hAnsi="宋体" w:eastAsia="仿宋_GB2312" w:cs="宋体"/>
                <w:color w:val="000000"/>
                <w:kern w:val="0"/>
                <w:sz w:val="24"/>
                <w:szCs w:val="30"/>
              </w:rPr>
              <w:t>2.指导、督促村镇银行风险化解工作，定期向所在地人民银行报送风险化解工作进展。</w:t>
            </w:r>
          </w:p>
        </w:tc>
      </w:tr>
    </w:tbl>
    <w:p>
      <w:pPr>
        <w:ind w:firstLine="600" w:firstLineChars="200"/>
        <w:rPr>
          <w:rFonts w:ascii="黑体" w:hAnsi="黑体" w:eastAsia="黑体"/>
          <w:sz w:val="30"/>
          <w:szCs w:val="30"/>
        </w:rPr>
      </w:pPr>
      <w:r>
        <w:rPr>
          <w:rFonts w:hint="eastAsia" w:ascii="黑体" w:hAnsi="黑体" w:eastAsia="黑体"/>
          <w:sz w:val="30"/>
          <w:szCs w:val="30"/>
        </w:rPr>
        <w:t>五、职责分工</w:t>
      </w:r>
    </w:p>
    <w:p>
      <w:pPr>
        <w:ind w:firstLine="600" w:firstLineChars="200"/>
        <w:rPr>
          <w:rFonts w:ascii="仿宋_GB2312" w:eastAsia="仿宋_GB2312"/>
          <w:sz w:val="30"/>
          <w:szCs w:val="30"/>
        </w:rPr>
      </w:pPr>
      <w:r>
        <w:rPr>
          <w:rFonts w:hint="eastAsia" w:ascii="仿宋_GB2312" w:eastAsia="仿宋_GB2312"/>
          <w:sz w:val="30"/>
          <w:szCs w:val="30"/>
        </w:rPr>
        <w:t>（一）中国人民银行赤峰市中心支行工作职责</w:t>
      </w:r>
    </w:p>
    <w:p>
      <w:pPr>
        <w:ind w:firstLine="600" w:firstLineChars="200"/>
        <w:rPr>
          <w:rFonts w:ascii="仿宋_GB2312" w:eastAsia="仿宋_GB2312"/>
          <w:sz w:val="30"/>
          <w:szCs w:val="30"/>
        </w:rPr>
      </w:pPr>
      <w:r>
        <w:rPr>
          <w:rFonts w:hint="eastAsia" w:ascii="仿宋_GB2312" w:eastAsia="仿宋_GB2312"/>
          <w:sz w:val="30"/>
          <w:szCs w:val="30"/>
        </w:rPr>
        <w:t>1.负责对本级管辖的地方法人银行业金融机构开展风险监测和早期干预工作；</w:t>
      </w:r>
    </w:p>
    <w:p>
      <w:pPr>
        <w:ind w:firstLine="600" w:firstLineChars="200"/>
        <w:rPr>
          <w:rFonts w:ascii="仿宋_GB2312" w:eastAsia="仿宋_GB2312"/>
          <w:sz w:val="30"/>
          <w:szCs w:val="30"/>
        </w:rPr>
      </w:pPr>
      <w:r>
        <w:rPr>
          <w:rFonts w:hint="eastAsia" w:ascii="仿宋_GB2312" w:eastAsia="仿宋_GB2312"/>
          <w:sz w:val="30"/>
          <w:szCs w:val="30"/>
        </w:rPr>
        <w:t>2. 负责指导各旗县区支行对各自辖区内的法人银行业金融机构开展风险监测和早期干预工作；</w:t>
      </w:r>
    </w:p>
    <w:p>
      <w:pPr>
        <w:ind w:firstLine="600" w:firstLineChars="200"/>
        <w:rPr>
          <w:rFonts w:ascii="仿宋_GB2312" w:eastAsia="仿宋_GB2312"/>
          <w:sz w:val="30"/>
          <w:szCs w:val="30"/>
        </w:rPr>
      </w:pPr>
      <w:r>
        <w:rPr>
          <w:rFonts w:hint="eastAsia" w:ascii="仿宋_GB2312" w:eastAsia="仿宋_GB2312"/>
          <w:sz w:val="30"/>
          <w:szCs w:val="30"/>
        </w:rPr>
        <w:t>3.负责向上级行报告早期干预工作进展，提出早期纠正工作意见；</w:t>
      </w:r>
    </w:p>
    <w:p>
      <w:pPr>
        <w:ind w:firstLine="600" w:firstLineChars="200"/>
        <w:rPr>
          <w:rFonts w:ascii="仿宋_GB2312" w:eastAsia="仿宋_GB2312"/>
          <w:sz w:val="30"/>
          <w:szCs w:val="30"/>
        </w:rPr>
      </w:pPr>
      <w:r>
        <w:rPr>
          <w:rFonts w:hint="eastAsia" w:ascii="仿宋_GB2312" w:eastAsia="仿宋_GB2312"/>
          <w:sz w:val="30"/>
          <w:szCs w:val="30"/>
        </w:rPr>
        <w:t>4. 负责协调有关监管部门联合开展风险研判、预警和化解工作；</w:t>
      </w:r>
    </w:p>
    <w:p>
      <w:pPr>
        <w:ind w:firstLine="600" w:firstLineChars="200"/>
        <w:rPr>
          <w:rFonts w:ascii="仿宋_GB2312" w:eastAsia="仿宋_GB2312"/>
          <w:sz w:val="30"/>
          <w:szCs w:val="30"/>
        </w:rPr>
      </w:pPr>
      <w:r>
        <w:rPr>
          <w:rFonts w:hint="eastAsia" w:ascii="仿宋_GB2312" w:eastAsia="仿宋_GB2312"/>
          <w:sz w:val="30"/>
          <w:szCs w:val="30"/>
        </w:rPr>
        <w:t>5. 负责向地方政府及相关部门通报法人银行业金融机构风险情况和早期干预工作情况。</w:t>
      </w:r>
    </w:p>
    <w:p>
      <w:pPr>
        <w:ind w:firstLine="600" w:firstLineChars="200"/>
        <w:rPr>
          <w:rFonts w:ascii="仿宋_GB2312" w:eastAsia="仿宋_GB2312"/>
          <w:sz w:val="30"/>
          <w:szCs w:val="30"/>
        </w:rPr>
      </w:pPr>
      <w:r>
        <w:rPr>
          <w:rFonts w:hint="eastAsia" w:ascii="仿宋_GB2312" w:eastAsia="仿宋_GB2312"/>
          <w:sz w:val="30"/>
          <w:szCs w:val="30"/>
        </w:rPr>
        <w:t>（二）中国人民银行赤峰市各旗县区支行工作职责</w:t>
      </w:r>
    </w:p>
    <w:p>
      <w:pPr>
        <w:ind w:firstLine="600" w:firstLineChars="200"/>
        <w:rPr>
          <w:rFonts w:ascii="仿宋_GB2312" w:eastAsia="仿宋_GB2312"/>
          <w:sz w:val="30"/>
          <w:szCs w:val="30"/>
        </w:rPr>
      </w:pPr>
      <w:r>
        <w:rPr>
          <w:rFonts w:hint="eastAsia" w:ascii="仿宋_GB2312" w:eastAsia="仿宋_GB2312"/>
          <w:sz w:val="30"/>
          <w:szCs w:val="30"/>
        </w:rPr>
        <w:t>1.在赤峰市中支指导下，开展对辖区内法人银行业金融机构的风险监测和早期干预工作；</w:t>
      </w:r>
    </w:p>
    <w:p>
      <w:pPr>
        <w:ind w:firstLine="600" w:firstLineChars="200"/>
        <w:rPr>
          <w:rFonts w:ascii="仿宋_GB2312" w:eastAsia="仿宋_GB2312"/>
          <w:sz w:val="30"/>
          <w:szCs w:val="30"/>
        </w:rPr>
      </w:pPr>
      <w:r>
        <w:rPr>
          <w:rFonts w:hint="eastAsia" w:ascii="仿宋_GB2312" w:eastAsia="仿宋_GB2312"/>
          <w:sz w:val="30"/>
          <w:szCs w:val="30"/>
        </w:rPr>
        <w:t>2. 按照赤峰市中支工作要求，对辖区内的法人银行业金融机构进行现场核查；</w:t>
      </w:r>
    </w:p>
    <w:p>
      <w:pPr>
        <w:ind w:firstLine="600" w:firstLineChars="200"/>
        <w:rPr>
          <w:rFonts w:ascii="仿宋_GB2312" w:eastAsia="仿宋_GB2312"/>
          <w:sz w:val="30"/>
          <w:szCs w:val="30"/>
        </w:rPr>
      </w:pPr>
      <w:r>
        <w:rPr>
          <w:rFonts w:hint="eastAsia" w:ascii="仿宋_GB2312" w:eastAsia="仿宋_GB2312"/>
          <w:sz w:val="30"/>
          <w:szCs w:val="30"/>
        </w:rPr>
        <w:t>3.向赤峰市中支报告早期干预工作进展，提出早期纠正工作意见；</w:t>
      </w:r>
    </w:p>
    <w:p>
      <w:pPr>
        <w:ind w:firstLine="600" w:firstLineChars="200"/>
        <w:rPr>
          <w:rFonts w:ascii="仿宋_GB2312" w:eastAsia="仿宋_GB2312"/>
          <w:sz w:val="30"/>
          <w:szCs w:val="30"/>
        </w:rPr>
      </w:pPr>
      <w:r>
        <w:rPr>
          <w:rFonts w:hint="eastAsia" w:ascii="仿宋_GB2312" w:eastAsia="仿宋_GB2312"/>
          <w:sz w:val="30"/>
          <w:szCs w:val="30"/>
        </w:rPr>
        <w:t>4.对辖区内法人银行业金融机构风险监测、早期干预中发现的重大风险情形向赤峰中支报告；</w:t>
      </w:r>
    </w:p>
    <w:p>
      <w:pPr>
        <w:ind w:firstLine="600" w:firstLineChars="200"/>
        <w:rPr>
          <w:rFonts w:ascii="仿宋_GB2312" w:eastAsia="仿宋_GB2312"/>
          <w:sz w:val="30"/>
          <w:szCs w:val="30"/>
        </w:rPr>
      </w:pPr>
      <w:r>
        <w:rPr>
          <w:rFonts w:hint="eastAsia" w:ascii="仿宋_GB2312" w:eastAsia="仿宋_GB2312"/>
          <w:sz w:val="30"/>
          <w:szCs w:val="30"/>
        </w:rPr>
        <w:t>5.负责承办赤峰市中支交办的其他相关工作。</w:t>
      </w:r>
    </w:p>
    <w:p>
      <w:pPr>
        <w:ind w:firstLine="600" w:firstLineChars="200"/>
        <w:rPr>
          <w:rFonts w:ascii="仿宋_GB2312" w:eastAsia="仿宋_GB2312"/>
          <w:sz w:val="30"/>
          <w:szCs w:val="30"/>
        </w:rPr>
      </w:pPr>
      <w:r>
        <w:rPr>
          <w:rFonts w:hint="eastAsia" w:ascii="仿宋_GB2312" w:eastAsia="仿宋_GB2312"/>
          <w:sz w:val="30"/>
          <w:szCs w:val="30"/>
        </w:rPr>
        <w:t>（三）地方法人银行业金融机构工作职责</w:t>
      </w:r>
    </w:p>
    <w:p>
      <w:pPr>
        <w:ind w:firstLine="600" w:firstLineChars="200"/>
        <w:rPr>
          <w:rFonts w:ascii="仿宋_GB2312" w:eastAsia="仿宋_GB2312"/>
          <w:sz w:val="30"/>
          <w:szCs w:val="30"/>
        </w:rPr>
      </w:pPr>
      <w:r>
        <w:rPr>
          <w:rFonts w:hint="eastAsia" w:ascii="仿宋_GB2312" w:eastAsia="仿宋_GB2312"/>
          <w:sz w:val="30"/>
          <w:szCs w:val="30"/>
        </w:rPr>
        <w:t>1.按所在地人民银行要求报送经营指标变化情况分析资料；</w:t>
      </w:r>
    </w:p>
    <w:p>
      <w:pPr>
        <w:ind w:firstLine="600" w:firstLineChars="200"/>
        <w:rPr>
          <w:rFonts w:ascii="仿宋_GB2312" w:eastAsia="仿宋_GB2312"/>
          <w:sz w:val="30"/>
          <w:szCs w:val="30"/>
        </w:rPr>
      </w:pPr>
      <w:r>
        <w:rPr>
          <w:rFonts w:hint="eastAsia" w:ascii="仿宋_GB2312" w:eastAsia="仿宋_GB2312"/>
          <w:sz w:val="30"/>
          <w:szCs w:val="30"/>
        </w:rPr>
        <w:t>2.按所在地人民银行要求报送风险化解工作计划；</w:t>
      </w:r>
    </w:p>
    <w:p>
      <w:pPr>
        <w:ind w:firstLine="600" w:firstLineChars="200"/>
        <w:rPr>
          <w:rFonts w:ascii="仿宋_GB2312" w:eastAsia="仿宋_GB2312"/>
          <w:sz w:val="30"/>
          <w:szCs w:val="30"/>
        </w:rPr>
      </w:pPr>
      <w:r>
        <w:rPr>
          <w:rFonts w:hint="eastAsia" w:ascii="仿宋_GB2312" w:eastAsia="仿宋_GB2312"/>
          <w:sz w:val="30"/>
          <w:szCs w:val="30"/>
        </w:rPr>
        <w:t>3.在所在地人民银行指导下开展风险化解工作；</w:t>
      </w:r>
    </w:p>
    <w:p>
      <w:pPr>
        <w:ind w:firstLine="600" w:firstLineChars="200"/>
        <w:rPr>
          <w:rFonts w:ascii="仿宋_GB2312" w:eastAsia="仿宋_GB2312"/>
          <w:sz w:val="30"/>
          <w:szCs w:val="30"/>
        </w:rPr>
      </w:pPr>
      <w:r>
        <w:rPr>
          <w:rFonts w:hint="eastAsia" w:ascii="仿宋_GB2312" w:eastAsia="仿宋_GB2312"/>
          <w:sz w:val="30"/>
          <w:szCs w:val="30"/>
        </w:rPr>
        <w:t>4.配合人民银行开展对所发起村镇银行的风险化解工作；</w:t>
      </w:r>
    </w:p>
    <w:p>
      <w:pPr>
        <w:ind w:firstLine="600" w:firstLineChars="200"/>
        <w:rPr>
          <w:rFonts w:ascii="仿宋_GB2312" w:eastAsia="仿宋_GB2312"/>
          <w:sz w:val="30"/>
          <w:szCs w:val="30"/>
        </w:rPr>
      </w:pPr>
      <w:r>
        <w:rPr>
          <w:rFonts w:hint="eastAsia" w:ascii="仿宋_GB2312" w:eastAsia="仿宋_GB2312"/>
          <w:sz w:val="30"/>
          <w:szCs w:val="30"/>
        </w:rPr>
        <w:t>5.完成人民银行交办的其他工作。</w:t>
      </w:r>
    </w:p>
    <w:p>
      <w:pPr>
        <w:ind w:firstLine="600" w:firstLineChars="200"/>
        <w:rPr>
          <w:rFonts w:ascii="黑体" w:hAnsi="黑体" w:eastAsia="黑体"/>
          <w:sz w:val="30"/>
          <w:szCs w:val="30"/>
        </w:rPr>
      </w:pPr>
      <w:r>
        <w:rPr>
          <w:rFonts w:hint="eastAsia" w:ascii="黑体" w:hAnsi="黑体" w:eastAsia="黑体"/>
          <w:sz w:val="30"/>
          <w:szCs w:val="30"/>
        </w:rPr>
        <w:t>六、问责制度</w:t>
      </w:r>
    </w:p>
    <w:p>
      <w:pPr>
        <w:ind w:firstLine="600" w:firstLineChars="200"/>
        <w:rPr>
          <w:rFonts w:ascii="仿宋_GB2312" w:eastAsia="仿宋_GB2312"/>
          <w:sz w:val="30"/>
          <w:szCs w:val="30"/>
        </w:rPr>
      </w:pPr>
      <w:r>
        <w:rPr>
          <w:rFonts w:hint="eastAsia" w:ascii="仿宋_GB2312" w:eastAsia="仿宋_GB2312"/>
          <w:sz w:val="30"/>
          <w:szCs w:val="30"/>
        </w:rPr>
        <w:t>（一）中国人民银行赤峰市中心支行及赤峰市各旗县区支行在风险早期干预工作中严重失职，造成失泄密事件或严重后果的，对直接责任人及相关责任人</w:t>
      </w:r>
      <w:r>
        <w:rPr>
          <w:rFonts w:hint="eastAsia" w:ascii="仿宋_GB2312" w:eastAsia="仿宋_GB2312"/>
          <w:sz w:val="30"/>
          <w:szCs w:val="30"/>
          <w:lang w:eastAsia="zh-CN"/>
        </w:rPr>
        <w:t>进行问责</w:t>
      </w:r>
      <w:r>
        <w:rPr>
          <w:rFonts w:hint="eastAsia" w:ascii="仿宋_GB2312" w:eastAsia="仿宋_GB2312"/>
          <w:sz w:val="30"/>
          <w:szCs w:val="30"/>
        </w:rPr>
        <w:t>，情节严重的依法追究责任。</w:t>
      </w:r>
    </w:p>
    <w:p>
      <w:pPr>
        <w:ind w:firstLine="600" w:firstLineChars="200"/>
        <w:rPr>
          <w:rFonts w:ascii="黑体" w:hAnsi="黑体" w:eastAsia="黑体"/>
          <w:sz w:val="30"/>
          <w:szCs w:val="30"/>
        </w:rPr>
      </w:pPr>
      <w:r>
        <w:rPr>
          <w:rFonts w:hint="eastAsia" w:ascii="仿宋_GB2312" w:eastAsia="仿宋_GB2312"/>
          <w:sz w:val="30"/>
          <w:szCs w:val="30"/>
        </w:rPr>
        <w:t>（二）赤峰市各地方法人银行业金融机构违反本办法要求，迟报、漏报、错报相关数据，或不履行本办法规定的工作职责造成严重影响的，中国人民银行赤峰市中心支行及赤峰市各旗县区支行可要求地方法人银行业金融机构做出说明，视情况采取责令改正、约见谈话、进行核查等，对核查中发现违反有关法律法规的，按照有关法律法规进行处理。</w:t>
      </w:r>
      <w:bookmarkStart w:id="0" w:name="_GoBack"/>
      <w:bookmarkEnd w:id="0"/>
    </w:p>
    <w:p>
      <w:pPr>
        <w:ind w:firstLine="600" w:firstLineChars="200"/>
        <w:rPr>
          <w:rFonts w:ascii="黑体" w:hAnsi="黑体" w:eastAsia="黑体"/>
          <w:sz w:val="30"/>
          <w:szCs w:val="30"/>
        </w:rPr>
      </w:pPr>
      <w:r>
        <w:rPr>
          <w:rFonts w:hint="eastAsia" w:ascii="黑体" w:hAnsi="黑体" w:eastAsia="黑体"/>
          <w:sz w:val="30"/>
          <w:szCs w:val="30"/>
        </w:rPr>
        <w:t>七、附则</w:t>
      </w:r>
    </w:p>
    <w:p>
      <w:pPr>
        <w:ind w:firstLine="600" w:firstLineChars="200"/>
        <w:rPr>
          <w:rFonts w:ascii="仿宋_GB2312" w:eastAsia="仿宋_GB2312"/>
          <w:sz w:val="30"/>
          <w:szCs w:val="30"/>
        </w:rPr>
      </w:pPr>
      <w:r>
        <w:rPr>
          <w:rFonts w:hint="eastAsia" w:ascii="仿宋_GB2312" w:eastAsia="仿宋_GB2312"/>
          <w:sz w:val="30"/>
          <w:szCs w:val="30"/>
        </w:rPr>
        <w:t>（一）中国人民银行赤峰市中心支行可根据情况对预警监测指标体系及分类标准进行调整和修改。</w:t>
      </w:r>
    </w:p>
    <w:p>
      <w:pPr>
        <w:ind w:firstLine="600" w:firstLineChars="200"/>
        <w:rPr>
          <w:rFonts w:ascii="仿宋_GB2312" w:eastAsia="仿宋_GB2312"/>
          <w:sz w:val="30"/>
          <w:szCs w:val="30"/>
        </w:rPr>
      </w:pPr>
      <w:r>
        <w:rPr>
          <w:rFonts w:hint="eastAsia" w:ascii="仿宋_GB2312" w:eastAsia="仿宋_GB2312"/>
          <w:sz w:val="30"/>
          <w:szCs w:val="30"/>
        </w:rPr>
        <w:t>（二）本办法自发布之日起施行。</w:t>
      </w:r>
    </w:p>
    <w:p>
      <w:pPr>
        <w:ind w:firstLine="600" w:firstLineChars="200"/>
        <w:rPr>
          <w:rFonts w:ascii="仿宋_GB2312" w:eastAsia="仿宋_GB2312"/>
          <w:sz w:val="30"/>
          <w:szCs w:val="30"/>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jc w:val="center"/>
    </w:pPr>
    <w:r>
      <w:fldChar w:fldCharType="begin"/>
    </w:r>
    <w:r>
      <w:instrText xml:space="preserve"> PAGE   \* MERGEFORMAT </w:instrText>
    </w:r>
    <w:r>
      <w:fldChar w:fldCharType="separate"/>
    </w:r>
    <w:r>
      <w:rPr>
        <w:lang w:val="zh-CN"/>
      </w:rPr>
      <w:t>8</w:t>
    </w:r>
    <w:r>
      <w:rPr>
        <w:lang w:val="zh-CN"/>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B7525B"/>
    <w:rsid w:val="000141FF"/>
    <w:rsid w:val="0001790E"/>
    <w:rsid w:val="00032737"/>
    <w:rsid w:val="00063259"/>
    <w:rsid w:val="000721B6"/>
    <w:rsid w:val="00083A34"/>
    <w:rsid w:val="00084DEA"/>
    <w:rsid w:val="00091214"/>
    <w:rsid w:val="000A450B"/>
    <w:rsid w:val="000B6C95"/>
    <w:rsid w:val="000D1DB7"/>
    <w:rsid w:val="000E4440"/>
    <w:rsid w:val="00107F2F"/>
    <w:rsid w:val="00111F55"/>
    <w:rsid w:val="00146249"/>
    <w:rsid w:val="0017257E"/>
    <w:rsid w:val="00176C09"/>
    <w:rsid w:val="001A1C3C"/>
    <w:rsid w:val="001A3839"/>
    <w:rsid w:val="001D7078"/>
    <w:rsid w:val="001E45CD"/>
    <w:rsid w:val="001F6F50"/>
    <w:rsid w:val="00201117"/>
    <w:rsid w:val="0021733A"/>
    <w:rsid w:val="00243168"/>
    <w:rsid w:val="0025031A"/>
    <w:rsid w:val="00257735"/>
    <w:rsid w:val="00261DC3"/>
    <w:rsid w:val="00290A66"/>
    <w:rsid w:val="002940C3"/>
    <w:rsid w:val="002964A0"/>
    <w:rsid w:val="002A24E0"/>
    <w:rsid w:val="002C46E5"/>
    <w:rsid w:val="002E7E8D"/>
    <w:rsid w:val="002F27ED"/>
    <w:rsid w:val="00302769"/>
    <w:rsid w:val="003458C0"/>
    <w:rsid w:val="00365A92"/>
    <w:rsid w:val="00366A7F"/>
    <w:rsid w:val="0039561E"/>
    <w:rsid w:val="003B1BC5"/>
    <w:rsid w:val="00401D71"/>
    <w:rsid w:val="004036E7"/>
    <w:rsid w:val="00424A38"/>
    <w:rsid w:val="00440E20"/>
    <w:rsid w:val="004634C8"/>
    <w:rsid w:val="004934D2"/>
    <w:rsid w:val="004B643F"/>
    <w:rsid w:val="004C414C"/>
    <w:rsid w:val="004C4997"/>
    <w:rsid w:val="00510E95"/>
    <w:rsid w:val="005110D8"/>
    <w:rsid w:val="005359E3"/>
    <w:rsid w:val="00536E0D"/>
    <w:rsid w:val="00571E3D"/>
    <w:rsid w:val="00580C2F"/>
    <w:rsid w:val="00582F45"/>
    <w:rsid w:val="00583ED4"/>
    <w:rsid w:val="005862D1"/>
    <w:rsid w:val="005A0311"/>
    <w:rsid w:val="005D619B"/>
    <w:rsid w:val="005E65FD"/>
    <w:rsid w:val="006118AF"/>
    <w:rsid w:val="00632308"/>
    <w:rsid w:val="00632FC0"/>
    <w:rsid w:val="00661722"/>
    <w:rsid w:val="00661E4F"/>
    <w:rsid w:val="00674FBC"/>
    <w:rsid w:val="00693642"/>
    <w:rsid w:val="00694ED9"/>
    <w:rsid w:val="006A1489"/>
    <w:rsid w:val="006B2F9A"/>
    <w:rsid w:val="006B5A9A"/>
    <w:rsid w:val="006C0E97"/>
    <w:rsid w:val="006E0721"/>
    <w:rsid w:val="006F0B81"/>
    <w:rsid w:val="006F1E68"/>
    <w:rsid w:val="00722F6F"/>
    <w:rsid w:val="00724B24"/>
    <w:rsid w:val="00734940"/>
    <w:rsid w:val="007451C7"/>
    <w:rsid w:val="00750B57"/>
    <w:rsid w:val="00756A63"/>
    <w:rsid w:val="00786856"/>
    <w:rsid w:val="007873EE"/>
    <w:rsid w:val="007B7732"/>
    <w:rsid w:val="007D4113"/>
    <w:rsid w:val="007D6654"/>
    <w:rsid w:val="007E6B27"/>
    <w:rsid w:val="007F204E"/>
    <w:rsid w:val="0080701F"/>
    <w:rsid w:val="0081320A"/>
    <w:rsid w:val="0082580B"/>
    <w:rsid w:val="00831B7F"/>
    <w:rsid w:val="00837682"/>
    <w:rsid w:val="008437AE"/>
    <w:rsid w:val="00863874"/>
    <w:rsid w:val="00896FF7"/>
    <w:rsid w:val="008A6E61"/>
    <w:rsid w:val="008B3A78"/>
    <w:rsid w:val="008B61C8"/>
    <w:rsid w:val="008C7C09"/>
    <w:rsid w:val="008D0E11"/>
    <w:rsid w:val="008D36DE"/>
    <w:rsid w:val="008F21E2"/>
    <w:rsid w:val="00901394"/>
    <w:rsid w:val="0091585A"/>
    <w:rsid w:val="0091650A"/>
    <w:rsid w:val="009230A9"/>
    <w:rsid w:val="00932352"/>
    <w:rsid w:val="00940E17"/>
    <w:rsid w:val="009553D6"/>
    <w:rsid w:val="00955D07"/>
    <w:rsid w:val="00963CCA"/>
    <w:rsid w:val="0099347C"/>
    <w:rsid w:val="00994AE7"/>
    <w:rsid w:val="009B0012"/>
    <w:rsid w:val="009C44FE"/>
    <w:rsid w:val="009C7741"/>
    <w:rsid w:val="009E794B"/>
    <w:rsid w:val="00A30740"/>
    <w:rsid w:val="00A53DE7"/>
    <w:rsid w:val="00A57136"/>
    <w:rsid w:val="00A61B34"/>
    <w:rsid w:val="00A61E98"/>
    <w:rsid w:val="00A80139"/>
    <w:rsid w:val="00A86D72"/>
    <w:rsid w:val="00A86E67"/>
    <w:rsid w:val="00A86F29"/>
    <w:rsid w:val="00A909A5"/>
    <w:rsid w:val="00AA426A"/>
    <w:rsid w:val="00AC6CFE"/>
    <w:rsid w:val="00AD20B2"/>
    <w:rsid w:val="00AE597C"/>
    <w:rsid w:val="00B030B0"/>
    <w:rsid w:val="00B10CB1"/>
    <w:rsid w:val="00B36D34"/>
    <w:rsid w:val="00B41026"/>
    <w:rsid w:val="00B66420"/>
    <w:rsid w:val="00B66F2E"/>
    <w:rsid w:val="00B7525B"/>
    <w:rsid w:val="00B95536"/>
    <w:rsid w:val="00B97391"/>
    <w:rsid w:val="00BA09E8"/>
    <w:rsid w:val="00BC0A39"/>
    <w:rsid w:val="00BC1590"/>
    <w:rsid w:val="00BC2089"/>
    <w:rsid w:val="00BD7DA0"/>
    <w:rsid w:val="00C0245B"/>
    <w:rsid w:val="00C076AF"/>
    <w:rsid w:val="00C114D5"/>
    <w:rsid w:val="00C141A8"/>
    <w:rsid w:val="00C26BA2"/>
    <w:rsid w:val="00C45B47"/>
    <w:rsid w:val="00C64B23"/>
    <w:rsid w:val="00C77544"/>
    <w:rsid w:val="00C852F2"/>
    <w:rsid w:val="00C9315A"/>
    <w:rsid w:val="00CA32EA"/>
    <w:rsid w:val="00CF0F8A"/>
    <w:rsid w:val="00D31C74"/>
    <w:rsid w:val="00D33501"/>
    <w:rsid w:val="00D755A8"/>
    <w:rsid w:val="00D80473"/>
    <w:rsid w:val="00D90CDB"/>
    <w:rsid w:val="00D944D8"/>
    <w:rsid w:val="00DD79AE"/>
    <w:rsid w:val="00E212F4"/>
    <w:rsid w:val="00E34F72"/>
    <w:rsid w:val="00E3514D"/>
    <w:rsid w:val="00E3667B"/>
    <w:rsid w:val="00E413CB"/>
    <w:rsid w:val="00E92170"/>
    <w:rsid w:val="00E94DA4"/>
    <w:rsid w:val="00E95F1B"/>
    <w:rsid w:val="00EA01A3"/>
    <w:rsid w:val="00EB6944"/>
    <w:rsid w:val="00EE1F6C"/>
    <w:rsid w:val="00F50BF6"/>
    <w:rsid w:val="00F56010"/>
    <w:rsid w:val="00F6700A"/>
    <w:rsid w:val="00F673D8"/>
    <w:rsid w:val="00F804DD"/>
    <w:rsid w:val="00F861C7"/>
    <w:rsid w:val="00FD37B5"/>
    <w:rsid w:val="00FD7044"/>
    <w:rsid w:val="00FE03FF"/>
    <w:rsid w:val="00FE1B2B"/>
    <w:rsid w:val="00FE5B22"/>
    <w:rsid w:val="00FF3BA7"/>
    <w:rsid w:val="02B350C2"/>
    <w:rsid w:val="0A224BD2"/>
    <w:rsid w:val="64FE3750"/>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Style w:val="6"/>
      <w:tblLayout w:type="fixed"/>
      <w:tblCellMar>
        <w:top w:w="0" w:type="dxa"/>
        <w:left w:w="108" w:type="dxa"/>
        <w:bottom w:w="0" w:type="dxa"/>
        <w:right w:w="108" w:type="dxa"/>
      </w:tblCellMar>
    </w:tblPr>
    <w:tcPr>
      <w:textDirection w:val="lrTb"/>
    </w:tcPr>
  </w:style>
  <w:style w:type="paragraph" w:styleId="2">
    <w:name w:val="Balloon Text"/>
    <w:basedOn w:val="1"/>
    <w:link w:val="10"/>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7">
    <w:name w:val="List Paragraph"/>
    <w:basedOn w:val="1"/>
    <w:qFormat/>
    <w:uiPriority w:val="34"/>
    <w:pPr>
      <w:ind w:firstLine="420" w:firstLineChars="200"/>
    </w:pPr>
  </w:style>
  <w:style w:type="character" w:customStyle="1" w:styleId="8">
    <w:name w:val="页眉 Char"/>
    <w:basedOn w:val="5"/>
    <w:link w:val="4"/>
    <w:uiPriority w:val="99"/>
    <w:rPr>
      <w:sz w:val="18"/>
      <w:szCs w:val="18"/>
    </w:rPr>
  </w:style>
  <w:style w:type="character" w:customStyle="1" w:styleId="9">
    <w:name w:val="页脚 Char"/>
    <w:basedOn w:val="5"/>
    <w:link w:val="3"/>
    <w:uiPriority w:val="99"/>
    <w:rPr>
      <w:sz w:val="18"/>
      <w:szCs w:val="18"/>
    </w:rPr>
  </w:style>
  <w:style w:type="character" w:customStyle="1" w:styleId="10">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XiTongPan.Com</Company>
  <Pages>8</Pages>
  <Words>669</Words>
  <Characters>3819</Characters>
  <Lines>31</Lines>
  <Paragraphs>8</Paragraphs>
  <ScaleCrop>false</ScaleCrop>
  <LinksUpToDate>false</LinksUpToDate>
  <CharactersWithSpaces>0</CharactersWithSpaces>
  <Application>WPS Office 专业版_9.1.0.4895_{F1E327BC-269C-435d-A152-05C5408002CA}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2022-04-06T07:57:00Z</dcterms:created>
  <dc:creator>Windows 用户</dc:creator>
  <cp:lastModifiedBy>侯慧敏</cp:lastModifiedBy>
  <cp:lastPrinted>2022-03-25T06:39:00Z</cp:lastPrinted>
  <dcterms:modified xsi:type="dcterms:W3CDTF">2022-04-08T08:08:27Z</dcterms:modified>
  <dc:title>赤峰市地方法人银行业金融机构风险早期干预框架实施办法（试行）（征求意见稿）</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