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lang w:eastAsia="zh-CN"/>
        </w:rPr>
        <w:t>锡林郭勒盟</w:t>
      </w:r>
      <w:r>
        <w:rPr>
          <w:rFonts w:hint="eastAsia" w:ascii="黑体" w:hAnsi="黑体" w:eastAsia="黑体" w:cs="黑体"/>
          <w:sz w:val="44"/>
          <w:szCs w:val="44"/>
        </w:rPr>
        <w:t>国库集中收付代理银行资格</w:t>
      </w:r>
    </w:p>
    <w:p>
      <w:pPr>
        <w:jc w:val="center"/>
        <w:rPr>
          <w:rFonts w:hint="eastAsia" w:ascii="黑体" w:hAnsi="黑体" w:eastAsia="黑体" w:cs="黑体"/>
          <w:sz w:val="44"/>
          <w:szCs w:val="44"/>
        </w:rPr>
      </w:pPr>
      <w:r>
        <w:rPr>
          <w:rFonts w:hint="eastAsia" w:ascii="黑体" w:hAnsi="黑体" w:eastAsia="黑体" w:cs="黑体"/>
          <w:sz w:val="44"/>
          <w:szCs w:val="44"/>
        </w:rPr>
        <w:t>认定服务指南</w:t>
      </w: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392" w:lineRule="exact"/>
        <w:rPr>
          <w:rFonts w:eastAsia="Times New Roman"/>
          <w:sz w:val="24"/>
        </w:rPr>
      </w:pPr>
    </w:p>
    <w:p>
      <w:pPr>
        <w:spacing w:line="352" w:lineRule="exact"/>
        <w:ind w:left="2860"/>
        <w:rPr>
          <w:rFonts w:ascii="宋体" w:hAnsi="宋体"/>
          <w:sz w:val="29"/>
        </w:rPr>
      </w:pPr>
      <w:r>
        <w:rPr>
          <w:rFonts w:ascii="宋体" w:hAnsi="宋体"/>
          <w:b/>
          <w:sz w:val="29"/>
        </w:rPr>
        <w:t>发布日期：</w:t>
      </w:r>
      <w:r>
        <w:rPr>
          <w:rFonts w:ascii="Arial" w:hAnsi="Arial" w:eastAsia="Arial"/>
          <w:sz w:val="29"/>
        </w:rPr>
        <w:t>202</w:t>
      </w:r>
      <w:r>
        <w:rPr>
          <w:rFonts w:hint="eastAsia" w:ascii="Arial" w:hAnsi="Arial" w:eastAsia="宋体"/>
          <w:sz w:val="29"/>
          <w:lang w:val="en-US" w:eastAsia="zh-CN"/>
        </w:rPr>
        <w:t>3</w:t>
      </w:r>
      <w:r>
        <w:rPr>
          <w:rFonts w:ascii="宋体" w:hAnsi="宋体"/>
          <w:sz w:val="29"/>
        </w:rPr>
        <w:t>年</w:t>
      </w:r>
      <w:r>
        <w:rPr>
          <w:rFonts w:hint="eastAsia" w:ascii="Arial" w:hAnsi="Arial"/>
          <w:sz w:val="29"/>
          <w:lang w:val="en-US" w:eastAsia="zh-CN"/>
        </w:rPr>
        <w:t>9</w:t>
      </w:r>
      <w:r>
        <w:rPr>
          <w:rFonts w:ascii="宋体" w:hAnsi="宋体"/>
          <w:sz w:val="29"/>
        </w:rPr>
        <w:t>月</w:t>
      </w:r>
      <w:r>
        <w:rPr>
          <w:rFonts w:hint="eastAsia" w:ascii="Arial" w:hAnsi="Arial"/>
          <w:sz w:val="29"/>
          <w:lang w:val="en-US" w:eastAsia="zh-CN"/>
        </w:rPr>
        <w:t>1</w:t>
      </w:r>
      <w:r>
        <w:rPr>
          <w:rFonts w:ascii="宋体" w:hAnsi="宋体"/>
          <w:sz w:val="29"/>
        </w:rPr>
        <w:t>日</w:t>
      </w:r>
    </w:p>
    <w:p>
      <w:pPr>
        <w:spacing w:line="228" w:lineRule="exact"/>
        <w:rPr>
          <w:rFonts w:eastAsia="Times New Roman"/>
          <w:sz w:val="24"/>
        </w:rPr>
      </w:pPr>
    </w:p>
    <w:p>
      <w:pPr>
        <w:spacing w:line="331" w:lineRule="exact"/>
        <w:ind w:left="2860"/>
        <w:rPr>
          <w:rFonts w:ascii="宋体" w:hAnsi="宋体"/>
          <w:sz w:val="29"/>
        </w:rPr>
      </w:pPr>
      <w:r>
        <w:rPr>
          <w:rFonts w:ascii="宋体" w:hAnsi="宋体"/>
          <w:b/>
          <w:sz w:val="29"/>
        </w:rPr>
        <w:t>实施日期：</w:t>
      </w:r>
      <w:r>
        <w:rPr>
          <w:rFonts w:ascii="宋体" w:hAnsi="宋体"/>
          <w:sz w:val="29"/>
        </w:rPr>
        <w:t>自发布之日起</w:t>
      </w:r>
    </w:p>
    <w:p>
      <w:pPr>
        <w:spacing w:line="231" w:lineRule="exact"/>
        <w:rPr>
          <w:rFonts w:eastAsia="Times New Roman"/>
          <w:sz w:val="24"/>
        </w:rPr>
      </w:pPr>
    </w:p>
    <w:p>
      <w:pPr>
        <w:spacing w:line="331" w:lineRule="exact"/>
        <w:ind w:left="2860"/>
        <w:rPr>
          <w:rFonts w:ascii="宋体" w:hAnsi="宋体"/>
          <w:sz w:val="29"/>
        </w:rPr>
      </w:pPr>
      <w:r>
        <w:rPr>
          <w:rFonts w:ascii="宋体" w:hAnsi="宋体"/>
          <w:b/>
          <w:sz w:val="29"/>
        </w:rPr>
        <w:t>发布机构：</w:t>
      </w:r>
      <w:r>
        <w:rPr>
          <w:rFonts w:ascii="宋体" w:hAnsi="宋体"/>
          <w:sz w:val="29"/>
        </w:rPr>
        <w:t>中国人民银行</w:t>
      </w:r>
      <w:r>
        <w:rPr>
          <w:rFonts w:hint="eastAsia" w:ascii="宋体" w:hAnsi="宋体"/>
          <w:sz w:val="29"/>
          <w:lang w:eastAsia="zh-CN"/>
        </w:rPr>
        <w:t>锡林郭勒盟分行</w:t>
      </w:r>
    </w:p>
    <w:p>
      <w:pPr>
        <w:spacing w:line="700" w:lineRule="exact"/>
        <w:rPr>
          <w:rFonts w:hint="eastAsia" w:ascii="方正小标宋简体" w:eastAsia="方正小标宋简体"/>
          <w:spacing w:val="20"/>
          <w:sz w:val="44"/>
        </w:rPr>
        <w:sectPr>
          <w:footerReference r:id="rId3" w:type="default"/>
          <w:footnotePr>
            <w:numFmt w:val="decimal"/>
          </w:footnotePr>
          <w:endnotePr>
            <w:numFmt w:val="decimal"/>
          </w:endnotePr>
          <w:type w:val="continuous"/>
          <w:pgSz w:w="11900" w:h="16838"/>
          <w:pgMar w:top="1440" w:right="1440" w:bottom="1440" w:left="1440" w:header="0" w:footer="0" w:gutter="0"/>
          <w:pgNumType w:fmt="decimal"/>
          <w:cols w:space="720" w:num="1"/>
          <w:docGrid w:type="lines" w:linePitch="360" w:charSpace="0"/>
        </w:sectPr>
      </w:pPr>
    </w:p>
    <w:p>
      <w:pPr>
        <w:jc w:val="center"/>
        <w:rPr>
          <w:rFonts w:ascii="黑体" w:hAnsi="黑体" w:eastAsia="黑体"/>
          <w:sz w:val="36"/>
          <w:szCs w:val="36"/>
        </w:rPr>
      </w:pPr>
      <w:r>
        <w:rPr>
          <w:rFonts w:hint="eastAsia" w:ascii="黑体" w:hAnsi="黑体" w:eastAsia="黑体"/>
          <w:sz w:val="36"/>
          <w:szCs w:val="36"/>
          <w:lang w:eastAsia="zh-CN"/>
        </w:rPr>
        <w:t>锡林郭勒盟</w:t>
      </w:r>
      <w:r>
        <w:rPr>
          <w:rFonts w:hint="eastAsia" w:ascii="黑体" w:hAnsi="黑体" w:eastAsia="黑体"/>
          <w:sz w:val="36"/>
          <w:szCs w:val="36"/>
        </w:rPr>
        <w:t>国库集中收付代理银行资格认定服务指南</w:t>
      </w:r>
    </w:p>
    <w:p>
      <w:pPr>
        <w:widowControl w:val="0"/>
        <w:wordWrap/>
        <w:adjustRightInd/>
        <w:snapToGrid/>
        <w:spacing w:line="560" w:lineRule="exact"/>
        <w:ind w:left="0" w:leftChars="0" w:right="0"/>
        <w:textAlignment w:val="auto"/>
        <w:outlineLvl w:val="9"/>
        <w:rPr>
          <w:rFonts w:hint="eastAsia" w:ascii="仿宋_GB2312" w:eastAsia="仿宋_GB2312"/>
          <w:b/>
          <w:sz w:val="32"/>
          <w:szCs w:val="32"/>
        </w:rPr>
      </w:pPr>
      <w:r>
        <w:rPr>
          <w:rFonts w:hint="eastAsia" w:ascii="仿宋_GB2312" w:hAnsi="黑体" w:eastAsia="仿宋_GB2312"/>
          <w:sz w:val="32"/>
          <w:szCs w:val="32"/>
        </w:rPr>
        <w:t xml:space="preserve">    </w:t>
      </w:r>
      <w:r>
        <w:rPr>
          <w:rFonts w:hint="eastAsia" w:ascii="仿宋_GB2312" w:eastAsia="仿宋_GB2312"/>
          <w:b/>
          <w:sz w:val="32"/>
          <w:szCs w:val="32"/>
        </w:rPr>
        <w:t>一、适用范围</w:t>
      </w:r>
    </w:p>
    <w:p>
      <w:pPr>
        <w:widowControl w:val="0"/>
        <w:wordWrap/>
        <w:adjustRightInd/>
        <w:snapToGrid/>
        <w:spacing w:line="560" w:lineRule="exact"/>
        <w:ind w:left="0" w:leftChars="0" w:right="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本指南适用于</w:t>
      </w:r>
      <w:r>
        <w:rPr>
          <w:rFonts w:hint="eastAsia" w:ascii="仿宋_GB2312" w:eastAsia="仿宋_GB2312"/>
          <w:sz w:val="32"/>
          <w:szCs w:val="32"/>
          <w:lang w:eastAsia="zh-CN"/>
        </w:rPr>
        <w:t>锡林郭勒盟地区国有商业银行、股份制商业银行、中国邮政储蓄银行申请国库集中收付代理银行资格认定审批。</w:t>
      </w:r>
    </w:p>
    <w:p>
      <w:pPr>
        <w:widowControl w:val="0"/>
        <w:wordWrap/>
        <w:adjustRightInd/>
        <w:snapToGrid/>
        <w:spacing w:line="560" w:lineRule="exact"/>
        <w:ind w:left="0" w:leftChars="0" w:right="0"/>
        <w:textAlignment w:val="auto"/>
        <w:outlineLvl w:val="9"/>
        <w:rPr>
          <w:rFonts w:hint="eastAsia"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 xml:space="preserve">  二、事项审查类型</w:t>
      </w:r>
    </w:p>
    <w:p>
      <w:pPr>
        <w:widowControl w:val="0"/>
        <w:wordWrap/>
        <w:adjustRightInd/>
        <w:snapToGrid/>
        <w:spacing w:line="560" w:lineRule="exact"/>
        <w:ind w:left="0" w:leftChars="0" w:right="0"/>
        <w:textAlignment w:val="auto"/>
        <w:outlineLvl w:val="9"/>
        <w:rPr>
          <w:rFonts w:hint="eastAsia" w:ascii="仿宋_GB2312" w:eastAsia="仿宋_GB2312"/>
          <w:sz w:val="32"/>
          <w:szCs w:val="32"/>
        </w:rPr>
      </w:pPr>
      <w:r>
        <w:rPr>
          <w:rFonts w:hint="eastAsia" w:ascii="仿宋_GB2312" w:eastAsia="仿宋_GB2312"/>
          <w:sz w:val="32"/>
          <w:szCs w:val="32"/>
        </w:rPr>
        <w:t xml:space="preserve">     前审后批</w:t>
      </w:r>
      <w:r>
        <w:rPr>
          <w:rFonts w:hint="eastAsia" w:ascii="仿宋_GB2312" w:eastAsia="仿宋_GB2312"/>
          <w:sz w:val="32"/>
          <w:szCs w:val="32"/>
          <w:lang w:eastAsia="zh-CN"/>
        </w:rPr>
        <w:t>。</w:t>
      </w:r>
    </w:p>
    <w:p>
      <w:pPr>
        <w:widowControl w:val="0"/>
        <w:wordWrap/>
        <w:adjustRightInd/>
        <w:snapToGrid/>
        <w:spacing w:line="560" w:lineRule="exact"/>
        <w:ind w:left="0" w:leftChars="0" w:right="0"/>
        <w:textAlignment w:val="auto"/>
        <w:outlineLvl w:val="9"/>
        <w:rPr>
          <w:rFonts w:hint="eastAsia"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三、审批依据</w:t>
      </w:r>
    </w:p>
    <w:p>
      <w:pPr>
        <w:widowControl w:val="0"/>
        <w:wordWrap/>
        <w:adjustRightInd/>
        <w:snapToGrid/>
        <w:spacing w:line="560" w:lineRule="exact"/>
        <w:ind w:left="0" w:leftChars="0" w:right="0" w:firstLine="640" w:firstLineChars="200"/>
        <w:textAlignment w:val="auto"/>
        <w:outlineLvl w:val="9"/>
        <w:rPr>
          <w:rFonts w:hint="eastAsia" w:ascii="仿宋_GB2312" w:eastAsia="仿宋_GB2312"/>
          <w:sz w:val="32"/>
          <w:szCs w:val="32"/>
        </w:rPr>
      </w:pPr>
      <w:r>
        <w:rPr>
          <w:rFonts w:hint="eastAsia" w:ascii="仿宋_GB2312" w:hAnsi="黑体" w:eastAsia="仿宋_GB2312"/>
          <w:sz w:val="32"/>
          <w:szCs w:val="32"/>
        </w:rPr>
        <w:t>《行政许可法》、《中国人民银行行政许可实施办法》（中国人民银行令〔2020〕第1号）、《中国人民银行行政许可程序规定》（银办发〔2020〕第43号）等法律法规和规章制度要求，参照《中央财政国库集中收付代理银行资格认定管理暂行办法》（银发〔2012〕第172号）</w:t>
      </w:r>
      <w:r>
        <w:rPr>
          <w:rFonts w:hint="eastAsia" w:ascii="仿宋_GB2312" w:eastAsia="仿宋_GB2312"/>
          <w:sz w:val="32"/>
          <w:szCs w:val="32"/>
        </w:rPr>
        <w:t>等。</w:t>
      </w:r>
    </w:p>
    <w:p>
      <w:pPr>
        <w:widowControl w:val="0"/>
        <w:wordWrap/>
        <w:adjustRightInd/>
        <w:snapToGrid/>
        <w:spacing w:line="560" w:lineRule="exact"/>
        <w:ind w:left="0" w:leftChars="0" w:right="0" w:firstLine="640" w:firstLineChars="200"/>
        <w:textAlignment w:val="auto"/>
        <w:outlineLvl w:val="9"/>
        <w:rPr>
          <w:rFonts w:hint="eastAsia" w:ascii="仿宋_GB2312" w:eastAsia="仿宋_GB2312"/>
          <w:b/>
          <w:sz w:val="32"/>
          <w:szCs w:val="32"/>
        </w:rPr>
      </w:pPr>
      <w:r>
        <w:rPr>
          <w:rFonts w:hint="eastAsia" w:ascii="仿宋_GB2312" w:eastAsia="仿宋_GB2312"/>
          <w:b/>
          <w:sz w:val="32"/>
          <w:szCs w:val="32"/>
        </w:rPr>
        <w:t>四、实施机构</w:t>
      </w:r>
    </w:p>
    <w:p>
      <w:pPr>
        <w:widowControl w:val="0"/>
        <w:wordWrap/>
        <w:adjustRightInd/>
        <w:snapToGrid/>
        <w:spacing w:line="560" w:lineRule="exact"/>
        <w:ind w:left="0" w:leftChars="0" w:right="0" w:firstLine="640" w:firstLineChars="200"/>
        <w:textAlignment w:val="auto"/>
        <w:outlineLvl w:val="9"/>
        <w:rPr>
          <w:rFonts w:hint="eastAsia" w:ascii="仿宋_GB2312" w:hAnsi="Times New Roman" w:eastAsia="仿宋_GB2312"/>
          <w:sz w:val="32"/>
          <w:szCs w:val="32"/>
        </w:rPr>
      </w:pPr>
      <w:r>
        <w:rPr>
          <w:rFonts w:hint="eastAsia" w:ascii="仿宋_GB2312" w:hAnsi="Times New Roman" w:eastAsia="仿宋_GB2312"/>
          <w:sz w:val="32"/>
          <w:szCs w:val="32"/>
        </w:rPr>
        <w:t>中国人民银行</w:t>
      </w:r>
      <w:r>
        <w:rPr>
          <w:rFonts w:hint="eastAsia" w:ascii="仿宋_GB2312" w:hAnsi="Times New Roman" w:eastAsia="仿宋_GB2312"/>
          <w:sz w:val="32"/>
          <w:szCs w:val="32"/>
          <w:lang w:eastAsia="zh-CN"/>
        </w:rPr>
        <w:t>锡林郭勒盟分行</w:t>
      </w:r>
      <w:r>
        <w:rPr>
          <w:rFonts w:hint="eastAsia" w:ascii="仿宋_GB2312" w:eastAsia="仿宋_GB2312"/>
          <w:sz w:val="32"/>
          <w:szCs w:val="32"/>
        </w:rPr>
        <w:t>。</w:t>
      </w:r>
    </w:p>
    <w:p>
      <w:pPr>
        <w:widowControl w:val="0"/>
        <w:wordWrap/>
        <w:adjustRightInd/>
        <w:snapToGrid/>
        <w:spacing w:line="560" w:lineRule="exact"/>
        <w:ind w:left="0" w:leftChars="0" w:right="0" w:firstLine="640" w:firstLineChars="200"/>
        <w:textAlignment w:val="auto"/>
        <w:outlineLvl w:val="9"/>
        <w:rPr>
          <w:rFonts w:hint="eastAsia" w:ascii="仿宋_GB2312" w:eastAsia="仿宋_GB2312"/>
          <w:b/>
          <w:sz w:val="32"/>
          <w:szCs w:val="32"/>
        </w:rPr>
      </w:pPr>
      <w:r>
        <w:rPr>
          <w:rFonts w:hint="eastAsia" w:ascii="仿宋_GB2312" w:eastAsia="仿宋_GB2312"/>
          <w:b/>
          <w:sz w:val="32"/>
          <w:szCs w:val="32"/>
          <w:lang w:eastAsia="zh-CN"/>
        </w:rPr>
        <w:t>五、</w:t>
      </w:r>
      <w:r>
        <w:rPr>
          <w:rFonts w:hint="eastAsia" w:ascii="仿宋_GB2312" w:eastAsia="仿宋_GB2312"/>
          <w:b/>
          <w:sz w:val="32"/>
          <w:szCs w:val="32"/>
        </w:rPr>
        <w:t>受理机构</w:t>
      </w:r>
    </w:p>
    <w:p>
      <w:pPr>
        <w:widowControl w:val="0"/>
        <w:wordWrap/>
        <w:adjustRightInd/>
        <w:snapToGrid/>
        <w:spacing w:line="560" w:lineRule="exact"/>
        <w:ind w:left="0" w:leftChars="0" w:right="0" w:firstLine="640" w:firstLineChars="200"/>
        <w:textAlignment w:val="auto"/>
        <w:outlineLvl w:val="9"/>
        <w:rPr>
          <w:rFonts w:hint="eastAsia" w:ascii="仿宋_GB2312" w:hAnsi="Times New Roman" w:eastAsia="仿宋_GB2312"/>
          <w:sz w:val="32"/>
          <w:szCs w:val="32"/>
        </w:rPr>
      </w:pPr>
      <w:r>
        <w:rPr>
          <w:rFonts w:hint="eastAsia" w:ascii="仿宋_GB2312" w:hAnsi="Times New Roman" w:eastAsia="仿宋_GB2312"/>
          <w:sz w:val="32"/>
          <w:szCs w:val="32"/>
        </w:rPr>
        <w:t>中国人民银行</w:t>
      </w:r>
      <w:r>
        <w:rPr>
          <w:rFonts w:hint="eastAsia" w:ascii="仿宋_GB2312" w:hAnsi="Times New Roman" w:eastAsia="仿宋_GB2312"/>
          <w:sz w:val="32"/>
          <w:szCs w:val="32"/>
          <w:lang w:eastAsia="zh-CN"/>
        </w:rPr>
        <w:t>锡林郭勒盟分行</w:t>
      </w:r>
      <w:r>
        <w:rPr>
          <w:rFonts w:hint="eastAsia" w:ascii="仿宋_GB2312" w:eastAsia="仿宋_GB2312"/>
          <w:sz w:val="32"/>
          <w:szCs w:val="32"/>
        </w:rPr>
        <w:t>。</w:t>
      </w:r>
    </w:p>
    <w:p>
      <w:pPr>
        <w:widowControl w:val="0"/>
        <w:wordWrap/>
        <w:adjustRightInd/>
        <w:snapToGrid/>
        <w:spacing w:line="560" w:lineRule="exact"/>
        <w:ind w:left="0" w:leftChars="0" w:right="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b/>
          <w:sz w:val="32"/>
          <w:szCs w:val="32"/>
          <w:lang w:val="en-US" w:eastAsia="zh-CN"/>
        </w:rPr>
        <w:t>六、</w:t>
      </w:r>
      <w:r>
        <w:rPr>
          <w:rFonts w:hint="eastAsia" w:ascii="仿宋_GB2312" w:eastAsia="仿宋_GB2312"/>
          <w:b/>
          <w:sz w:val="32"/>
          <w:szCs w:val="32"/>
          <w:lang w:eastAsia="zh-CN"/>
        </w:rPr>
        <w:t>决定机构</w:t>
      </w:r>
    </w:p>
    <w:p>
      <w:pPr>
        <w:widowControl w:val="0"/>
        <w:wordWrap/>
        <w:adjustRightInd/>
        <w:snapToGrid/>
        <w:spacing w:line="560" w:lineRule="exact"/>
        <w:ind w:left="0" w:leftChars="0" w:right="0" w:firstLine="640" w:firstLineChars="200"/>
        <w:textAlignment w:val="auto"/>
        <w:outlineLvl w:val="9"/>
        <w:rPr>
          <w:rFonts w:hint="eastAsia" w:ascii="仿宋_GB2312" w:hAnsi="Times New Roman" w:eastAsia="仿宋_GB2312"/>
          <w:sz w:val="32"/>
          <w:szCs w:val="32"/>
        </w:rPr>
      </w:pPr>
      <w:r>
        <w:rPr>
          <w:rFonts w:hint="eastAsia" w:ascii="仿宋_GB2312" w:hAnsi="Times New Roman" w:eastAsia="仿宋_GB2312"/>
          <w:sz w:val="32"/>
          <w:szCs w:val="32"/>
        </w:rPr>
        <w:t>中国人民银行</w:t>
      </w:r>
      <w:r>
        <w:rPr>
          <w:rFonts w:hint="eastAsia" w:ascii="仿宋_GB2312" w:hAnsi="Times New Roman" w:eastAsia="仿宋_GB2312"/>
          <w:sz w:val="32"/>
          <w:szCs w:val="32"/>
          <w:lang w:eastAsia="zh-CN"/>
        </w:rPr>
        <w:t>锡林郭勒盟分行</w:t>
      </w:r>
      <w:r>
        <w:rPr>
          <w:rFonts w:hint="eastAsia" w:ascii="仿宋_GB2312" w:eastAsia="仿宋_GB2312"/>
          <w:sz w:val="32"/>
          <w:szCs w:val="32"/>
        </w:rPr>
        <w:t>。</w:t>
      </w:r>
    </w:p>
    <w:p>
      <w:pPr>
        <w:widowControl w:val="0"/>
        <w:wordWrap/>
        <w:adjustRightInd/>
        <w:snapToGrid/>
        <w:spacing w:line="560" w:lineRule="exact"/>
        <w:ind w:left="0" w:leftChars="0" w:right="0"/>
        <w:textAlignment w:val="auto"/>
        <w:outlineLvl w:val="9"/>
        <w:rPr>
          <w:rFonts w:hint="eastAsia"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 xml:space="preserve"> </w:t>
      </w:r>
      <w:r>
        <w:rPr>
          <w:rFonts w:hint="eastAsia" w:ascii="仿宋_GB2312" w:eastAsia="仿宋_GB2312"/>
          <w:b/>
          <w:sz w:val="32"/>
          <w:szCs w:val="32"/>
          <w:lang w:eastAsia="zh-CN"/>
        </w:rPr>
        <w:t>七</w:t>
      </w:r>
      <w:r>
        <w:rPr>
          <w:rFonts w:hint="eastAsia" w:ascii="仿宋_GB2312" w:eastAsia="仿宋_GB2312"/>
          <w:b/>
          <w:sz w:val="32"/>
          <w:szCs w:val="32"/>
        </w:rPr>
        <w:t>、数量限制</w:t>
      </w:r>
    </w:p>
    <w:p>
      <w:pPr>
        <w:jc w:val="left"/>
        <w:rPr>
          <w:rFonts w:hint="eastAsia" w:ascii="仿宋_GB2312" w:hAnsi="黑体"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无</w:t>
      </w:r>
      <w:r>
        <w:rPr>
          <w:rFonts w:hint="eastAsia" w:ascii="仿宋_GB2312" w:eastAsia="仿宋_GB2312"/>
          <w:sz w:val="32"/>
          <w:szCs w:val="32"/>
        </w:rPr>
        <w:t>数量限制。</w:t>
      </w:r>
    </w:p>
    <w:p>
      <w:pPr>
        <w:jc w:val="left"/>
        <w:rPr>
          <w:rFonts w:ascii="仿宋_GB2312" w:hAnsi="黑体" w:eastAsia="仿宋_GB2312"/>
          <w:b/>
          <w:sz w:val="32"/>
          <w:szCs w:val="32"/>
        </w:rPr>
      </w:pPr>
      <w:r>
        <w:rPr>
          <w:rFonts w:hint="eastAsia" w:ascii="仿宋_GB2312" w:hAnsi="黑体" w:eastAsia="仿宋_GB2312"/>
          <w:sz w:val="32"/>
          <w:szCs w:val="32"/>
        </w:rPr>
        <w:t xml:space="preserve">   </w:t>
      </w:r>
      <w:r>
        <w:rPr>
          <w:rFonts w:hint="eastAsia" w:ascii="仿宋_GB2312" w:hAnsi="黑体" w:eastAsia="仿宋_GB2312"/>
          <w:b/>
          <w:sz w:val="32"/>
          <w:szCs w:val="32"/>
        </w:rPr>
        <w:t xml:space="preserve"> </w:t>
      </w:r>
      <w:r>
        <w:rPr>
          <w:rFonts w:hint="eastAsia" w:ascii="仿宋_GB2312" w:hAnsi="黑体" w:eastAsia="仿宋_GB2312"/>
          <w:b/>
          <w:sz w:val="32"/>
          <w:szCs w:val="32"/>
          <w:lang w:eastAsia="zh-CN"/>
        </w:rPr>
        <w:t>八、</w:t>
      </w:r>
      <w:r>
        <w:rPr>
          <w:rFonts w:hint="eastAsia" w:ascii="仿宋_GB2312" w:hAnsi="黑体" w:eastAsia="仿宋_GB2312"/>
          <w:b/>
          <w:sz w:val="32"/>
          <w:szCs w:val="32"/>
        </w:rPr>
        <w:t>基本内容及要求</w:t>
      </w:r>
    </w:p>
    <w:p>
      <w:pPr>
        <w:ind w:firstLine="636"/>
        <w:jc w:val="left"/>
        <w:rPr>
          <w:rFonts w:ascii="仿宋_GB2312" w:hAnsi="黑体" w:eastAsia="仿宋_GB2312"/>
          <w:sz w:val="32"/>
          <w:szCs w:val="32"/>
        </w:rPr>
      </w:pPr>
      <w:r>
        <w:rPr>
          <w:rFonts w:hint="eastAsia" w:ascii="仿宋_GB2312" w:hAnsi="黑体" w:eastAsia="仿宋_GB2312"/>
          <w:b/>
          <w:sz w:val="32"/>
          <w:szCs w:val="32"/>
        </w:rPr>
        <w:t>（一）定义。</w:t>
      </w:r>
      <w:r>
        <w:rPr>
          <w:rFonts w:hint="eastAsia" w:ascii="仿宋_GB2312" w:hAnsi="黑体" w:eastAsia="仿宋_GB2312"/>
          <w:sz w:val="32"/>
          <w:szCs w:val="32"/>
        </w:rPr>
        <w:t>国库集中收付代理银行资格认定，是指中国人民银行及其分支机构受理银行业金融机构的申请，经依法审查，认定其具备代理非税收入集中收缴或国库集中支付业务资质的行为。</w:t>
      </w:r>
    </w:p>
    <w:p>
      <w:pPr>
        <w:ind w:firstLine="636"/>
        <w:jc w:val="left"/>
        <w:rPr>
          <w:rFonts w:ascii="仿宋_GB2312" w:hAnsi="黑体" w:eastAsia="仿宋_GB2312"/>
          <w:sz w:val="32"/>
          <w:szCs w:val="32"/>
        </w:rPr>
      </w:pPr>
      <w:r>
        <w:rPr>
          <w:rFonts w:hint="eastAsia" w:ascii="仿宋_GB2312" w:hAnsi="黑体" w:eastAsia="仿宋_GB2312"/>
          <w:b/>
          <w:sz w:val="32"/>
          <w:szCs w:val="32"/>
        </w:rPr>
        <w:t>（二）适用主体。</w:t>
      </w:r>
      <w:r>
        <w:rPr>
          <w:rFonts w:hint="eastAsia" w:ascii="仿宋_GB2312" w:hAnsi="黑体" w:eastAsia="仿宋_GB2312"/>
          <w:sz w:val="32"/>
          <w:szCs w:val="32"/>
        </w:rPr>
        <w:t>人民银行及分支机构根据本级国库集中收付业务需要，实施国库集中收付代理银行资格认定。经认定具备代理国库集中收付业务资格的银行业金融机构，方可参加同级财政部门通过市场化方式选择国库集中收付业务代理银行的活动，被确定为代理银行后与财政部门签订委托代理协议，并持委托代理协议与人民银行国库部门签订资金清算协议后，方可正式办理国库集中收付业务。</w:t>
      </w:r>
    </w:p>
    <w:p>
      <w:pPr>
        <w:ind w:firstLine="636"/>
        <w:jc w:val="left"/>
        <w:rPr>
          <w:rFonts w:ascii="仿宋_GB2312" w:hAnsi="黑体" w:eastAsia="仿宋_GB2312"/>
          <w:sz w:val="32"/>
          <w:szCs w:val="32"/>
        </w:rPr>
      </w:pPr>
      <w:r>
        <w:rPr>
          <w:rFonts w:hint="eastAsia" w:ascii="仿宋_GB2312" w:hAnsi="黑体" w:eastAsia="仿宋_GB2312"/>
          <w:b/>
          <w:sz w:val="32"/>
          <w:szCs w:val="32"/>
        </w:rPr>
        <w:t>（三）组织管理。</w:t>
      </w:r>
      <w:r>
        <w:rPr>
          <w:rFonts w:hint="eastAsia" w:ascii="仿宋_GB2312" w:hAnsi="黑体" w:eastAsia="仿宋_GB2312"/>
          <w:sz w:val="32"/>
          <w:szCs w:val="32"/>
        </w:rPr>
        <w:t>国库集中收付代理银行资格认定工作按照分级管理的原则组织实施，人民银行各分支机构负责本级国库集中收付代理银行资格认定，当地未设立人民银行分支机构的，由上级人民银行履行相应职责。</w:t>
      </w:r>
    </w:p>
    <w:p>
      <w:pPr>
        <w:ind w:firstLine="636"/>
        <w:jc w:val="left"/>
        <w:rPr>
          <w:rFonts w:ascii="仿宋_GB2312" w:hAnsi="黑体" w:eastAsia="仿宋_GB2312"/>
          <w:sz w:val="32"/>
          <w:szCs w:val="32"/>
        </w:rPr>
      </w:pPr>
      <w:r>
        <w:rPr>
          <w:rFonts w:hint="eastAsia" w:ascii="仿宋_GB2312" w:hAnsi="黑体" w:eastAsia="仿宋_GB2312"/>
          <w:sz w:val="32"/>
          <w:szCs w:val="32"/>
        </w:rPr>
        <w:t>人民银行国库部门具体承办本级国库集中收付代理银行资格认定工作，负责国库集中收付代理银行资格认定申请材料的受理、审核、相关文书的制作和送达、牵头办理相关信息的公示公告，履行对代理银行相关业务的指导、监督、检查等工作职责。</w:t>
      </w:r>
    </w:p>
    <w:p>
      <w:pPr>
        <w:jc w:val="left"/>
        <w:rPr>
          <w:rFonts w:ascii="仿宋_GB2312" w:hAnsi="黑体" w:eastAsia="仿宋_GB2312"/>
          <w:sz w:val="32"/>
          <w:szCs w:val="32"/>
        </w:rPr>
      </w:pPr>
      <w:r>
        <w:rPr>
          <w:rFonts w:hint="eastAsia" w:ascii="仿宋_GB2312" w:hAnsi="黑体" w:eastAsia="仿宋_GB2312"/>
          <w:b/>
          <w:sz w:val="32"/>
          <w:szCs w:val="32"/>
          <w:lang w:val="en-US" w:eastAsia="zh-CN"/>
        </w:rPr>
        <w:t xml:space="preserve">    </w:t>
      </w:r>
      <w:r>
        <w:rPr>
          <w:rFonts w:hint="eastAsia" w:ascii="仿宋_GB2312" w:hAnsi="黑体" w:eastAsia="仿宋_GB2312"/>
          <w:b/>
          <w:sz w:val="32"/>
          <w:szCs w:val="32"/>
        </w:rPr>
        <w:t>（四）代理银行申请机构。</w:t>
      </w:r>
      <w:r>
        <w:rPr>
          <w:rFonts w:hint="eastAsia" w:ascii="仿宋_GB2312" w:hAnsi="黑体" w:eastAsia="仿宋_GB2312"/>
          <w:sz w:val="32"/>
          <w:szCs w:val="32"/>
        </w:rPr>
        <w:t>地方各级国库集中收付代理银行资格认定的申请，由当地法人机构总行或驻地的银行业金融机构最高分支机构进行申请。</w:t>
      </w:r>
    </w:p>
    <w:p>
      <w:pPr>
        <w:jc w:val="left"/>
        <w:rPr>
          <w:rFonts w:ascii="仿宋_GB2312" w:hAnsi="黑体" w:eastAsia="仿宋_GB2312"/>
          <w:sz w:val="32"/>
          <w:szCs w:val="32"/>
        </w:rPr>
      </w:pPr>
      <w:r>
        <w:rPr>
          <w:rFonts w:hint="eastAsia" w:ascii="仿宋_GB2312" w:hAnsi="黑体" w:eastAsia="仿宋_GB2312"/>
          <w:b/>
          <w:color w:val="000000"/>
          <w:sz w:val="32"/>
          <w:szCs w:val="32"/>
          <w:lang w:val="en-US" w:eastAsia="zh-CN"/>
        </w:rPr>
        <w:t xml:space="preserve">    </w:t>
      </w:r>
      <w:r>
        <w:rPr>
          <w:rFonts w:hint="eastAsia" w:ascii="仿宋_GB2312" w:hAnsi="黑体" w:eastAsia="仿宋_GB2312"/>
          <w:b/>
          <w:color w:val="000000"/>
          <w:sz w:val="32"/>
          <w:szCs w:val="32"/>
        </w:rPr>
        <w:t>(五)评审方式。</w:t>
      </w:r>
      <w:r>
        <w:rPr>
          <w:rFonts w:hint="eastAsia" w:ascii="仿宋_GB2312" w:hAnsi="黑体" w:eastAsia="仿宋_GB2312"/>
          <w:color w:val="000000"/>
          <w:sz w:val="32"/>
          <w:szCs w:val="32"/>
        </w:rPr>
        <w:t>人</w:t>
      </w:r>
      <w:r>
        <w:rPr>
          <w:rFonts w:hint="eastAsia" w:ascii="仿宋_GB2312" w:hAnsi="黑体" w:eastAsia="仿宋_GB2312"/>
          <w:sz w:val="32"/>
          <w:szCs w:val="32"/>
        </w:rPr>
        <w:t>民银行分支机构成立国库集中收付代理银行资格认定专家评审组，对国库集中收付代理银行资格进行认定评审。评审组组长由本行行长（主任）或分管国库工作的副行长（副主任）担任，其他成员根据工作需要由国库部门具有相应专业能力的正式人员担任。</w:t>
      </w:r>
    </w:p>
    <w:p>
      <w:pPr>
        <w:ind w:firstLine="636"/>
        <w:jc w:val="left"/>
        <w:rPr>
          <w:rFonts w:ascii="仿宋_GB2312" w:hAnsi="黑体" w:eastAsia="仿宋_GB2312"/>
          <w:sz w:val="32"/>
          <w:szCs w:val="32"/>
        </w:rPr>
      </w:pPr>
      <w:r>
        <w:rPr>
          <w:rFonts w:hint="eastAsia" w:ascii="仿宋_GB2312" w:hAnsi="黑体" w:eastAsia="仿宋_GB2312"/>
          <w:sz w:val="32"/>
          <w:szCs w:val="32"/>
        </w:rPr>
        <w:t>评审指标包括定量指标和定性指标两类。定量指标包括：申请机构的资金安全性、流动性、效益性以及机构网点覆盖等情况；定性指标包括：央行金融机构评级结果、申请机构信息系统建设、内控制度建设、重大违法违规问题发生及查处情况、外部综合评价、服务承诺等。</w:t>
      </w:r>
    </w:p>
    <w:p>
      <w:pPr>
        <w:ind w:firstLine="636"/>
        <w:jc w:val="left"/>
        <w:rPr>
          <w:rFonts w:ascii="仿宋_GB2312" w:hAnsi="黑体" w:eastAsia="仿宋_GB2312"/>
          <w:sz w:val="32"/>
          <w:szCs w:val="32"/>
        </w:rPr>
      </w:pPr>
      <w:r>
        <w:rPr>
          <w:rFonts w:hint="eastAsia" w:ascii="仿宋_GB2312" w:hAnsi="黑体" w:eastAsia="仿宋_GB2312"/>
          <w:sz w:val="32"/>
          <w:szCs w:val="32"/>
        </w:rPr>
        <w:t>评审组各位成员根据申请机构提交的申请资料，按照评审指标和规则对申请机构进行评审打分，综合各位评审成员的平均分值，为该申请机构的最终评审得分。</w:t>
      </w:r>
    </w:p>
    <w:p>
      <w:pPr>
        <w:ind w:firstLine="636"/>
        <w:jc w:val="left"/>
        <w:rPr>
          <w:rFonts w:ascii="仿宋_GB2312" w:hAnsi="黑体" w:eastAsia="仿宋_GB2312"/>
          <w:sz w:val="32"/>
          <w:szCs w:val="32"/>
        </w:rPr>
      </w:pPr>
      <w:r>
        <w:rPr>
          <w:rFonts w:hint="eastAsia" w:ascii="仿宋_GB2312" w:hAnsi="黑体" w:eastAsia="仿宋_GB2312"/>
          <w:sz w:val="32"/>
          <w:szCs w:val="32"/>
        </w:rPr>
        <w:t>综合评价满分为100分，最终评审得分超过60分（含60分）的申请机构，为资格认定合格。</w:t>
      </w:r>
    </w:p>
    <w:p>
      <w:pPr>
        <w:ind w:firstLine="636"/>
        <w:jc w:val="left"/>
        <w:rPr>
          <w:rFonts w:ascii="仿宋_GB2312" w:hAnsi="黑体" w:eastAsia="仿宋_GB2312"/>
          <w:sz w:val="32"/>
          <w:szCs w:val="32"/>
        </w:rPr>
      </w:pPr>
      <w:r>
        <w:rPr>
          <w:rFonts w:hint="eastAsia" w:ascii="仿宋_GB2312" w:hAnsi="黑体" w:eastAsia="仿宋_GB2312"/>
          <w:b/>
          <w:sz w:val="32"/>
          <w:szCs w:val="32"/>
        </w:rPr>
        <w:t>（六）资格认定许可有效期限。</w:t>
      </w:r>
      <w:r>
        <w:rPr>
          <w:rFonts w:hint="eastAsia" w:ascii="仿宋_GB2312" w:hAnsi="黑体" w:eastAsia="仿宋_GB2312"/>
          <w:sz w:val="32"/>
          <w:szCs w:val="32"/>
        </w:rPr>
        <w:t>国库集中收付代理银行资格认定有效期原则上为5年。</w:t>
      </w:r>
    </w:p>
    <w:p>
      <w:pPr>
        <w:jc w:val="left"/>
        <w:rPr>
          <w:rFonts w:ascii="仿宋_GB2312" w:hAnsi="黑体" w:eastAsia="仿宋_GB2312"/>
          <w:b/>
          <w:sz w:val="32"/>
          <w:szCs w:val="32"/>
        </w:rPr>
      </w:pPr>
      <w:r>
        <w:rPr>
          <w:rFonts w:hint="eastAsia" w:ascii="仿宋_GB2312" w:hAnsi="黑体" w:eastAsia="仿宋_GB2312"/>
          <w:b/>
          <w:sz w:val="32"/>
          <w:szCs w:val="32"/>
        </w:rPr>
        <w:t xml:space="preserve">    </w:t>
      </w:r>
      <w:r>
        <w:rPr>
          <w:rFonts w:hint="eastAsia" w:ascii="仿宋_GB2312" w:hAnsi="黑体" w:eastAsia="仿宋_GB2312"/>
          <w:b/>
          <w:sz w:val="32"/>
          <w:szCs w:val="32"/>
          <w:lang w:eastAsia="zh-CN"/>
        </w:rPr>
        <w:t>九</w:t>
      </w:r>
      <w:r>
        <w:rPr>
          <w:rFonts w:hint="eastAsia" w:ascii="仿宋_GB2312" w:hAnsi="黑体" w:eastAsia="仿宋_GB2312"/>
          <w:b/>
          <w:sz w:val="32"/>
          <w:szCs w:val="32"/>
        </w:rPr>
        <w:t>、具体资格认定流程</w:t>
      </w:r>
    </w:p>
    <w:p>
      <w:pPr>
        <w:ind w:firstLine="636"/>
        <w:jc w:val="left"/>
        <w:rPr>
          <w:rFonts w:ascii="仿宋_GB2312" w:hAnsi="黑体" w:eastAsia="仿宋_GB2312"/>
          <w:sz w:val="32"/>
          <w:szCs w:val="32"/>
        </w:rPr>
      </w:pPr>
      <w:r>
        <w:rPr>
          <w:rFonts w:hint="eastAsia" w:ascii="仿宋_GB2312" w:hAnsi="黑体" w:eastAsia="仿宋_GB2312"/>
          <w:sz w:val="32"/>
          <w:szCs w:val="32"/>
        </w:rPr>
        <w:t>全</w:t>
      </w:r>
      <w:r>
        <w:rPr>
          <w:rFonts w:hint="eastAsia" w:ascii="仿宋_GB2312" w:hAnsi="黑体" w:eastAsia="仿宋_GB2312"/>
          <w:sz w:val="32"/>
          <w:szCs w:val="32"/>
          <w:lang w:eastAsia="zh-CN"/>
        </w:rPr>
        <w:t>盟</w:t>
      </w:r>
      <w:r>
        <w:rPr>
          <w:rFonts w:hint="eastAsia" w:ascii="仿宋_GB2312" w:hAnsi="黑体" w:eastAsia="仿宋_GB2312"/>
          <w:sz w:val="32"/>
          <w:szCs w:val="32"/>
        </w:rPr>
        <w:t>国库集中收付代理银行资格认定工作流程如下：（流程图见附件1）</w:t>
      </w:r>
    </w:p>
    <w:p>
      <w:pPr>
        <w:ind w:firstLine="636"/>
        <w:jc w:val="left"/>
        <w:rPr>
          <w:rFonts w:ascii="仿宋_GB2312" w:hAnsi="黑体" w:eastAsia="仿宋_GB2312"/>
          <w:b/>
          <w:sz w:val="32"/>
          <w:szCs w:val="32"/>
        </w:rPr>
      </w:pPr>
      <w:r>
        <w:rPr>
          <w:rFonts w:hint="eastAsia" w:ascii="仿宋_GB2312" w:hAnsi="黑体" w:eastAsia="仿宋_GB2312"/>
          <w:b/>
          <w:sz w:val="32"/>
          <w:szCs w:val="32"/>
        </w:rPr>
        <w:t>（一）财政来函、发布通知</w:t>
      </w:r>
    </w:p>
    <w:p>
      <w:pPr>
        <w:ind w:firstLine="636"/>
        <w:jc w:val="left"/>
        <w:rPr>
          <w:rFonts w:ascii="仿宋_GB2312" w:hAnsi="黑体" w:eastAsia="仿宋_GB2312"/>
          <w:sz w:val="32"/>
          <w:szCs w:val="32"/>
        </w:rPr>
      </w:pPr>
      <w:r>
        <w:rPr>
          <w:rFonts w:hint="eastAsia" w:ascii="仿宋_GB2312" w:hAnsi="黑体" w:eastAsia="仿宋_GB2312"/>
          <w:sz w:val="32"/>
          <w:szCs w:val="32"/>
        </w:rPr>
        <w:t>1、财政部门来函。财政部门开展国库集中收付代理银行市场化选择前，需要与当地人民银行国库部门提前沟通、协商，并以正式函件的形式向当地人民银行提出开展国库集中收付代理银行资格认定的业务需求（函件至少要在人民银行发布资格认定通知前20个工作日提出，并且在函件中明确开展国库集中收付代理银行资格认定的请求事项，但不得指定参加资格认定银行业金融机构范围）。</w:t>
      </w:r>
    </w:p>
    <w:p>
      <w:pPr>
        <w:ind w:firstLine="636"/>
        <w:jc w:val="left"/>
        <w:rPr>
          <w:rFonts w:ascii="仿宋_GB2312" w:hAnsi="黑体" w:eastAsia="仿宋_GB2312"/>
          <w:sz w:val="32"/>
          <w:szCs w:val="32"/>
        </w:rPr>
      </w:pPr>
      <w:r>
        <w:rPr>
          <w:rFonts w:hint="eastAsia" w:ascii="仿宋_GB2312" w:hAnsi="黑体" w:eastAsia="仿宋_GB2312"/>
          <w:sz w:val="32"/>
          <w:szCs w:val="32"/>
        </w:rPr>
        <w:t>2、发布公告或通知。根据国库集中收付业务需要及财政来函，人民银行国库部门负责制作本级国库集中收付代理银行资格认定行政许可服务指南和开展资格认定工作的有关通知，并在办公场所、人民银行官方互联网站进行公示公告。“服务指南”应当明确相关行政许可依据、条件、程序、提交材料目录和示范文本等事项信息；“开展资格认定的通知”至少在申请人提交申请资料截止时限前15个工作日发出。</w:t>
      </w:r>
    </w:p>
    <w:p>
      <w:pPr>
        <w:ind w:firstLine="636"/>
        <w:jc w:val="left"/>
        <w:rPr>
          <w:rFonts w:ascii="仿宋_GB2312" w:hAnsi="黑体" w:eastAsia="仿宋_GB2312"/>
          <w:b/>
          <w:sz w:val="32"/>
          <w:szCs w:val="32"/>
        </w:rPr>
      </w:pPr>
      <w:r>
        <w:rPr>
          <w:rFonts w:hint="eastAsia" w:ascii="仿宋_GB2312" w:hAnsi="黑体" w:eastAsia="仿宋_GB2312"/>
          <w:b/>
          <w:sz w:val="32"/>
          <w:szCs w:val="32"/>
        </w:rPr>
        <w:t>（二）提出申请</w:t>
      </w:r>
    </w:p>
    <w:p>
      <w:pPr>
        <w:ind w:firstLine="636"/>
        <w:jc w:val="left"/>
        <w:rPr>
          <w:rFonts w:hint="eastAsia" w:ascii="仿宋_GB2312" w:hAnsi="黑体" w:eastAsia="仿宋_GB2312"/>
          <w:sz w:val="32"/>
          <w:szCs w:val="32"/>
        </w:rPr>
      </w:pPr>
      <w:r>
        <w:rPr>
          <w:rFonts w:hint="eastAsia" w:ascii="仿宋_GB2312" w:hAnsi="黑体" w:eastAsia="仿宋_GB2312"/>
          <w:sz w:val="32"/>
          <w:szCs w:val="32"/>
        </w:rPr>
        <w:t>1、申请条件。申请机构应当具备以下条件：</w:t>
      </w:r>
    </w:p>
    <w:p>
      <w:pPr>
        <w:ind w:firstLine="636"/>
        <w:jc w:val="left"/>
        <w:rPr>
          <w:rFonts w:hint="eastAsia" w:ascii="仿宋_GB2312" w:hAnsi="黑体" w:eastAsia="仿宋_GB2312"/>
          <w:sz w:val="32"/>
          <w:szCs w:val="32"/>
        </w:rPr>
      </w:pPr>
      <w:r>
        <w:rPr>
          <w:rFonts w:hint="eastAsia" w:ascii="仿宋_GB2312" w:hAnsi="黑体" w:eastAsia="仿宋_GB2312"/>
          <w:sz w:val="32"/>
          <w:szCs w:val="32"/>
        </w:rPr>
        <w:t xml:space="preserve">（1）依法持有《金融许可证》和《企业法人营业执照》； </w:t>
      </w:r>
    </w:p>
    <w:p>
      <w:pPr>
        <w:ind w:firstLine="636"/>
        <w:jc w:val="left"/>
        <w:rPr>
          <w:rFonts w:hint="eastAsia" w:ascii="仿宋_GB2312" w:hAnsi="黑体" w:eastAsia="仿宋_GB2312"/>
          <w:sz w:val="32"/>
          <w:szCs w:val="32"/>
        </w:rPr>
      </w:pPr>
      <w:r>
        <w:rPr>
          <w:rFonts w:hint="eastAsia" w:ascii="仿宋_GB2312" w:hAnsi="黑体" w:eastAsia="仿宋_GB2312"/>
          <w:sz w:val="32"/>
          <w:szCs w:val="32"/>
        </w:rPr>
        <w:t xml:space="preserve">（2）资金实力雄厚，资产状况良好，具有较强的风险控制能力和较好的经营业绩； </w:t>
      </w:r>
    </w:p>
    <w:p>
      <w:pPr>
        <w:ind w:firstLine="636"/>
        <w:jc w:val="left"/>
        <w:rPr>
          <w:rFonts w:hint="eastAsia" w:ascii="仿宋_GB2312" w:hAnsi="黑体" w:eastAsia="仿宋_GB2312"/>
          <w:sz w:val="32"/>
          <w:szCs w:val="32"/>
        </w:rPr>
      </w:pPr>
      <w:r>
        <w:rPr>
          <w:rFonts w:hint="eastAsia" w:ascii="仿宋_GB2312" w:hAnsi="黑体" w:eastAsia="仿宋_GB2312"/>
          <w:sz w:val="32"/>
          <w:szCs w:val="32"/>
        </w:rPr>
        <w:t>（3）申请代理业务属地设有分支机构，且经营网点数量和分布能够满足代理业务需要；</w:t>
      </w:r>
    </w:p>
    <w:p>
      <w:pPr>
        <w:ind w:firstLine="636"/>
        <w:jc w:val="left"/>
        <w:rPr>
          <w:rFonts w:hint="eastAsia" w:ascii="仿宋_GB2312" w:hAnsi="黑体" w:eastAsia="仿宋_GB2312"/>
          <w:sz w:val="32"/>
          <w:szCs w:val="32"/>
        </w:rPr>
      </w:pPr>
      <w:r>
        <w:rPr>
          <w:rFonts w:hint="eastAsia" w:ascii="仿宋_GB2312" w:hAnsi="黑体" w:eastAsia="仿宋_GB2312"/>
          <w:sz w:val="32"/>
          <w:szCs w:val="32"/>
        </w:rPr>
        <w:t xml:space="preserve">（4）人员配备能够满足代理业务需要，业务人员应当熟悉国库相关制度规定，具备办理国库集中收付业务所需的专业能力； </w:t>
      </w:r>
    </w:p>
    <w:p>
      <w:pPr>
        <w:ind w:firstLine="636"/>
        <w:jc w:val="left"/>
        <w:rPr>
          <w:rFonts w:hint="eastAsia" w:ascii="仿宋_GB2312" w:hAnsi="黑体" w:eastAsia="仿宋_GB2312"/>
          <w:sz w:val="32"/>
          <w:szCs w:val="32"/>
        </w:rPr>
      </w:pPr>
      <w:r>
        <w:rPr>
          <w:rFonts w:hint="eastAsia" w:ascii="仿宋_GB2312" w:hAnsi="黑体" w:eastAsia="仿宋_GB2312"/>
          <w:sz w:val="32"/>
          <w:szCs w:val="32"/>
        </w:rPr>
        <w:t>（5）具备办理国库集中收付业务所需的技术条件，资金汇划系统能够满足资金实时到账要求，相关业务信息系统和内部网络安全、高效、稳定、可靠，能够及时、全面、准确地记录并反映所代理的业务信息；</w:t>
      </w:r>
    </w:p>
    <w:p>
      <w:pPr>
        <w:ind w:firstLine="636"/>
        <w:jc w:val="left"/>
        <w:rPr>
          <w:rFonts w:hint="eastAsia" w:ascii="仿宋_GB2312" w:hAnsi="黑体" w:eastAsia="仿宋_GB2312"/>
          <w:sz w:val="32"/>
          <w:szCs w:val="32"/>
        </w:rPr>
      </w:pPr>
      <w:r>
        <w:rPr>
          <w:rFonts w:hint="eastAsia" w:ascii="仿宋_GB2312" w:hAnsi="黑体" w:eastAsia="仿宋_GB2312"/>
          <w:sz w:val="32"/>
          <w:szCs w:val="32"/>
        </w:rPr>
        <w:t>（6）内部管理规范，内控制度健全，具有严格的操作规程和保密措施；</w:t>
      </w:r>
    </w:p>
    <w:p>
      <w:pPr>
        <w:ind w:firstLine="636"/>
        <w:jc w:val="left"/>
        <w:rPr>
          <w:rFonts w:hint="eastAsia" w:ascii="仿宋_GB2312" w:hAnsi="黑体" w:eastAsia="仿宋_GB2312"/>
          <w:sz w:val="32"/>
          <w:szCs w:val="32"/>
        </w:rPr>
      </w:pPr>
      <w:r>
        <w:rPr>
          <w:rFonts w:hint="eastAsia" w:ascii="仿宋_GB2312" w:hAnsi="黑体" w:eastAsia="仿宋_GB2312"/>
          <w:sz w:val="32"/>
          <w:szCs w:val="32"/>
        </w:rPr>
        <w:t>（7）能够持续合规经营，申请前两个年度未涉及重大违法违规行为、被采取限制业务活动、责令停业整顿、被接管等影响资格认定的事项；</w:t>
      </w:r>
    </w:p>
    <w:p>
      <w:pPr>
        <w:ind w:firstLine="636"/>
        <w:jc w:val="left"/>
        <w:rPr>
          <w:rFonts w:hint="eastAsia" w:ascii="仿宋_GB2312" w:hAnsi="黑体" w:eastAsia="仿宋_GB2312"/>
          <w:sz w:val="32"/>
          <w:szCs w:val="32"/>
        </w:rPr>
      </w:pPr>
      <w:r>
        <w:rPr>
          <w:rFonts w:hint="eastAsia" w:ascii="仿宋_GB2312" w:hAnsi="黑体" w:eastAsia="仿宋_GB2312"/>
          <w:sz w:val="32"/>
          <w:szCs w:val="32"/>
        </w:rPr>
        <w:t>（8）人民银行及其分支机构规定的其他条件。</w:t>
      </w:r>
    </w:p>
    <w:p>
      <w:pPr>
        <w:ind w:firstLine="636"/>
        <w:jc w:val="left"/>
        <w:rPr>
          <w:rFonts w:hint="eastAsia" w:ascii="仿宋_GB2312" w:hAnsi="黑体" w:eastAsia="仿宋_GB2312"/>
          <w:sz w:val="32"/>
          <w:szCs w:val="32"/>
        </w:rPr>
      </w:pPr>
      <w:r>
        <w:rPr>
          <w:rFonts w:hint="eastAsia" w:ascii="仿宋_GB2312" w:hAnsi="黑体" w:eastAsia="仿宋_GB2312"/>
          <w:sz w:val="32"/>
          <w:szCs w:val="32"/>
        </w:rPr>
        <w:t>2、申请材料。申请机构按照本级国库集中收付代理资格认定服务指南和开展资格认定通知所明确的方式及要求提交书面申请材料（一式一份），并对申请材料实质内容的真实性负责。申请材料包括：</w:t>
      </w:r>
    </w:p>
    <w:p>
      <w:pPr>
        <w:ind w:firstLine="636"/>
        <w:jc w:val="left"/>
        <w:rPr>
          <w:rFonts w:hint="eastAsia" w:ascii="仿宋_GB2312" w:hAnsi="黑体" w:eastAsia="仿宋_GB2312"/>
          <w:sz w:val="32"/>
          <w:szCs w:val="32"/>
        </w:rPr>
      </w:pPr>
      <w:r>
        <w:rPr>
          <w:rFonts w:hint="eastAsia" w:ascii="仿宋_GB2312" w:hAnsi="黑体" w:eastAsia="仿宋_GB2312"/>
          <w:sz w:val="32"/>
          <w:szCs w:val="32"/>
        </w:rPr>
        <w:t xml:space="preserve">（1）国库集中收付代理银行资格认定申请表（见附件2）； </w:t>
      </w:r>
    </w:p>
    <w:p>
      <w:pPr>
        <w:ind w:firstLine="636"/>
        <w:jc w:val="left"/>
        <w:rPr>
          <w:rFonts w:hint="eastAsia" w:ascii="仿宋_GB2312" w:hAnsi="黑体" w:eastAsia="仿宋_GB2312"/>
          <w:sz w:val="32"/>
          <w:szCs w:val="32"/>
        </w:rPr>
      </w:pPr>
      <w:r>
        <w:rPr>
          <w:rFonts w:hint="eastAsia" w:ascii="仿宋_GB2312" w:hAnsi="黑体" w:eastAsia="仿宋_GB2312"/>
          <w:sz w:val="32"/>
          <w:szCs w:val="32"/>
        </w:rPr>
        <w:t>（2）申请书。内容应当包括申请机构总行前十大股东控股情况（以申请书落款日期为准）、拟申请代理业务种类、申请机构的部门设置和分工、网点分布、人员配备、岗位职责、相关内控管理建设、风险防范机制、资金汇划渠道、信息系统建设情况和服务承诺等；</w:t>
      </w:r>
    </w:p>
    <w:p>
      <w:pPr>
        <w:ind w:firstLine="636"/>
        <w:jc w:val="left"/>
        <w:rPr>
          <w:rFonts w:hint="eastAsia" w:ascii="仿宋_GB2312" w:hAnsi="黑体" w:eastAsia="仿宋_GB2312"/>
          <w:sz w:val="32"/>
          <w:szCs w:val="32"/>
        </w:rPr>
      </w:pPr>
      <w:r>
        <w:rPr>
          <w:rFonts w:hint="eastAsia" w:ascii="仿宋_GB2312" w:hAnsi="黑体" w:eastAsia="仿宋_GB2312"/>
          <w:sz w:val="32"/>
          <w:szCs w:val="32"/>
        </w:rPr>
        <w:t>（3）《金融许可证》和《企业法人营业执照》副本；</w:t>
      </w:r>
    </w:p>
    <w:p>
      <w:pPr>
        <w:ind w:firstLine="636"/>
        <w:jc w:val="left"/>
        <w:rPr>
          <w:rFonts w:hint="eastAsia" w:ascii="仿宋_GB2312" w:hAnsi="黑体" w:eastAsia="仿宋_GB2312"/>
          <w:sz w:val="32"/>
          <w:szCs w:val="32"/>
        </w:rPr>
      </w:pPr>
      <w:r>
        <w:rPr>
          <w:rFonts w:hint="eastAsia" w:ascii="仿宋_GB2312" w:hAnsi="黑体" w:eastAsia="仿宋_GB2312"/>
          <w:sz w:val="32"/>
          <w:szCs w:val="32"/>
        </w:rPr>
        <w:t>（4）申请机构法定代表人或主要负责人身份证明文件（因特殊情况，申请机构法定代表人或主要负责人与企业法人营业执照不符的，需出具相关说明），如委托代理人提出申请的，还需提供授权委托书和被委托人身份证明文件；</w:t>
      </w:r>
    </w:p>
    <w:p>
      <w:pPr>
        <w:ind w:firstLine="636"/>
        <w:jc w:val="left"/>
        <w:rPr>
          <w:rFonts w:hint="eastAsia" w:ascii="仿宋_GB2312" w:hAnsi="黑体" w:eastAsia="仿宋_GB2312"/>
          <w:sz w:val="32"/>
          <w:szCs w:val="32"/>
        </w:rPr>
      </w:pPr>
      <w:r>
        <w:rPr>
          <w:rFonts w:hint="eastAsia" w:ascii="仿宋_GB2312" w:hAnsi="黑体" w:eastAsia="仿宋_GB2312"/>
          <w:sz w:val="32"/>
          <w:szCs w:val="32"/>
        </w:rPr>
        <w:t>（5）国库集中收付代理银行资格评定指标一览表；</w:t>
      </w:r>
    </w:p>
    <w:p>
      <w:pPr>
        <w:ind w:firstLine="636"/>
        <w:jc w:val="left"/>
        <w:rPr>
          <w:rFonts w:hint="eastAsia" w:ascii="仿宋_GB2312" w:hAnsi="黑体" w:eastAsia="仿宋_GB2312"/>
          <w:sz w:val="32"/>
          <w:szCs w:val="32"/>
        </w:rPr>
      </w:pPr>
      <w:r>
        <w:rPr>
          <w:rFonts w:hint="eastAsia" w:ascii="仿宋_GB2312" w:hAnsi="黑体" w:eastAsia="仿宋_GB2312"/>
          <w:sz w:val="32"/>
          <w:szCs w:val="32"/>
        </w:rPr>
        <w:t>（6）申请前两个年度央行金融机构评级情况（申请机构为分支机构的，应当提供其法人机构的评级结果）；</w:t>
      </w:r>
    </w:p>
    <w:p>
      <w:pPr>
        <w:ind w:firstLine="636"/>
        <w:jc w:val="left"/>
        <w:rPr>
          <w:rFonts w:hint="eastAsia" w:ascii="仿宋_GB2312" w:hAnsi="黑体" w:eastAsia="仿宋_GB2312"/>
          <w:sz w:val="32"/>
          <w:szCs w:val="32"/>
        </w:rPr>
      </w:pPr>
      <w:r>
        <w:rPr>
          <w:rFonts w:hint="eastAsia" w:ascii="仿宋_GB2312" w:hAnsi="黑体" w:eastAsia="仿宋_GB2312"/>
          <w:sz w:val="32"/>
          <w:szCs w:val="32"/>
        </w:rPr>
        <w:t>（7）申请前两个年度的境内资产负债表、利润表等财务报表；</w:t>
      </w:r>
    </w:p>
    <w:p>
      <w:pPr>
        <w:ind w:firstLine="636"/>
        <w:jc w:val="left"/>
        <w:rPr>
          <w:rFonts w:hint="eastAsia" w:ascii="仿宋_GB2312" w:hAnsi="黑体" w:eastAsia="仿宋_GB2312"/>
          <w:sz w:val="32"/>
          <w:szCs w:val="32"/>
        </w:rPr>
      </w:pPr>
      <w:r>
        <w:rPr>
          <w:rFonts w:hint="eastAsia" w:ascii="仿宋_GB2312" w:hAnsi="黑体" w:eastAsia="仿宋_GB2312"/>
          <w:sz w:val="32"/>
          <w:szCs w:val="32"/>
        </w:rPr>
        <w:t>（8）申请前两个年度金融监管部门、政府审计部门、会计师事务所出具的监管报告、检查报告、审计报告等；</w:t>
      </w:r>
    </w:p>
    <w:p>
      <w:pPr>
        <w:ind w:firstLine="636"/>
        <w:jc w:val="left"/>
        <w:rPr>
          <w:rFonts w:hint="eastAsia" w:ascii="仿宋_GB2312" w:hAnsi="黑体" w:eastAsia="仿宋_GB2312"/>
          <w:sz w:val="32"/>
          <w:szCs w:val="32"/>
        </w:rPr>
      </w:pPr>
      <w:r>
        <w:rPr>
          <w:rFonts w:hint="eastAsia" w:ascii="仿宋_GB2312" w:hAnsi="黑体" w:eastAsia="仿宋_GB2312"/>
          <w:sz w:val="32"/>
          <w:szCs w:val="32"/>
        </w:rPr>
        <w:t>（9）申请前两个年度涉及资金支付结算、代理国库等方面较大违法违规行为发生情况，案件发生及监管部门行政处罚、整改等情况；</w:t>
      </w:r>
    </w:p>
    <w:p>
      <w:pPr>
        <w:ind w:firstLine="636"/>
        <w:jc w:val="left"/>
        <w:rPr>
          <w:rFonts w:hint="eastAsia" w:ascii="仿宋_GB2312" w:hAnsi="黑体" w:eastAsia="仿宋_GB2312"/>
          <w:sz w:val="32"/>
          <w:szCs w:val="32"/>
        </w:rPr>
      </w:pPr>
      <w:r>
        <w:rPr>
          <w:rFonts w:hint="eastAsia" w:ascii="仿宋_GB2312" w:hAnsi="黑体" w:eastAsia="仿宋_GB2312"/>
          <w:sz w:val="32"/>
          <w:szCs w:val="32"/>
        </w:rPr>
        <w:t>（10）申请材料真实性声明；</w:t>
      </w:r>
    </w:p>
    <w:p>
      <w:pPr>
        <w:ind w:firstLine="636"/>
        <w:jc w:val="left"/>
        <w:rPr>
          <w:rFonts w:hint="eastAsia" w:ascii="仿宋_GB2312" w:hAnsi="黑体" w:eastAsia="仿宋_GB2312"/>
          <w:sz w:val="32"/>
          <w:szCs w:val="32"/>
        </w:rPr>
      </w:pPr>
      <w:r>
        <w:rPr>
          <w:rFonts w:hint="eastAsia" w:ascii="仿宋_GB2312" w:hAnsi="黑体" w:eastAsia="仿宋_GB2312"/>
          <w:sz w:val="32"/>
          <w:szCs w:val="32"/>
        </w:rPr>
        <w:t>（11）人民银行及其分支机构要求提供的其他材料。</w:t>
      </w:r>
    </w:p>
    <w:p>
      <w:pPr>
        <w:ind w:firstLine="636"/>
        <w:jc w:val="left"/>
        <w:rPr>
          <w:rFonts w:hint="eastAsia" w:ascii="仿宋_GB2312" w:hAnsi="黑体" w:eastAsia="仿宋_GB2312"/>
          <w:sz w:val="32"/>
          <w:szCs w:val="32"/>
        </w:rPr>
      </w:pPr>
      <w:r>
        <w:rPr>
          <w:rFonts w:hint="eastAsia" w:ascii="仿宋_GB2312" w:hAnsi="黑体" w:eastAsia="仿宋_GB2312"/>
          <w:sz w:val="32"/>
          <w:szCs w:val="32"/>
        </w:rPr>
        <w:t>申请书应由申请机构正式行文提出，文件主送单位为“中国人民银行分支机构。上述申请资料如为复印件，应当加盖申请机构单位公章。其中，涉及第（3）项、第（8）项的证明事项实行告知承诺制，按《中国人民银行关于实行证明事项告知承诺制有关事项的通知》（银发〔2021〕178号）办理。</w:t>
      </w:r>
    </w:p>
    <w:p>
      <w:pPr>
        <w:ind w:firstLine="636"/>
        <w:jc w:val="left"/>
        <w:rPr>
          <w:rFonts w:hint="eastAsia" w:ascii="仿宋_GB2312" w:hAnsi="黑体" w:eastAsia="仿宋_GB2312"/>
          <w:sz w:val="32"/>
          <w:szCs w:val="32"/>
        </w:rPr>
      </w:pPr>
      <w:r>
        <w:rPr>
          <w:rFonts w:hint="eastAsia" w:ascii="仿宋_GB2312" w:hAnsi="黑体" w:eastAsia="仿宋_GB2312"/>
          <w:sz w:val="32"/>
          <w:szCs w:val="32"/>
        </w:rPr>
        <w:t>3、提交申请。申请机构应按照“开展资格认定通知”中规定的受理时限、受理方式、受理部门、受理地址等提交申请材料，超过受理时限的，视为无效申请。申请机构委派工作人员向人民银行提交申请资料时，应当出示相关的身份证明文件（如提交申请资料人员的工作证明、委托书、身份证件等）。</w:t>
      </w:r>
    </w:p>
    <w:p>
      <w:pPr>
        <w:ind w:firstLine="636"/>
        <w:jc w:val="left"/>
        <w:rPr>
          <w:rFonts w:ascii="仿宋_GB2312" w:hAnsi="黑体" w:eastAsia="仿宋_GB2312"/>
          <w:b/>
          <w:sz w:val="32"/>
          <w:szCs w:val="32"/>
        </w:rPr>
      </w:pPr>
      <w:r>
        <w:rPr>
          <w:rFonts w:hint="eastAsia" w:ascii="仿宋_GB2312" w:hAnsi="黑体" w:eastAsia="仿宋_GB2312"/>
          <w:b/>
          <w:sz w:val="32"/>
          <w:szCs w:val="32"/>
        </w:rPr>
        <w:t>（三）受理申请</w:t>
      </w:r>
    </w:p>
    <w:p>
      <w:pPr>
        <w:ind w:firstLine="636"/>
        <w:jc w:val="left"/>
        <w:rPr>
          <w:rFonts w:ascii="仿宋_GB2312" w:hAnsi="黑体" w:eastAsia="仿宋_GB2312"/>
          <w:sz w:val="32"/>
          <w:szCs w:val="32"/>
        </w:rPr>
      </w:pPr>
      <w:r>
        <w:rPr>
          <w:rFonts w:hint="eastAsia" w:ascii="仿宋_GB2312" w:hAnsi="黑体" w:eastAsia="仿宋_GB2312"/>
          <w:sz w:val="32"/>
          <w:szCs w:val="32"/>
        </w:rPr>
        <w:t>1、申请资料接收。人民银行国库部门接收申请机构提交的申请资料后，向申请机构出具《申请资料接收凭证》（见《中国人民银行行政许可程序规定》附件），载明申请资料接收日期，接收凭证由申请机构签字确认。</w:t>
      </w:r>
    </w:p>
    <w:p>
      <w:pPr>
        <w:ind w:firstLine="636"/>
        <w:jc w:val="left"/>
        <w:rPr>
          <w:rFonts w:ascii="仿宋_GB2312" w:hAnsi="黑体" w:eastAsia="仿宋_GB2312"/>
          <w:sz w:val="32"/>
          <w:szCs w:val="32"/>
        </w:rPr>
      </w:pPr>
      <w:r>
        <w:rPr>
          <w:rFonts w:hint="eastAsia" w:ascii="仿宋_GB2312" w:hAnsi="黑体" w:eastAsia="仿宋_GB2312"/>
          <w:sz w:val="32"/>
          <w:szCs w:val="32"/>
        </w:rPr>
        <w:t>2、受理申请。人民银行国库部门对申请资料的合规性、完整性等进行审核，对于申请资料齐全、符合法定形式及要求的，应当场或自收到全部申请资料之日起5个工作日内，向申请机构出具《行政许可受理通知书》（见《中国人民银行行政许可程序规定》附件）。如在接收申请资料时，能够现场审核，并确认申请资料齐全、符合法定形式及要求的，可当场出具《行政许可受理通知书》的，不再出具申请资料接收凭证。</w:t>
      </w:r>
    </w:p>
    <w:p>
      <w:pPr>
        <w:ind w:firstLine="636"/>
        <w:jc w:val="left"/>
        <w:rPr>
          <w:rFonts w:ascii="仿宋_GB2312" w:hAnsi="黑体" w:eastAsia="仿宋_GB2312"/>
          <w:sz w:val="32"/>
          <w:szCs w:val="32"/>
        </w:rPr>
      </w:pPr>
      <w:r>
        <w:rPr>
          <w:rFonts w:hint="eastAsia" w:ascii="仿宋_GB2312" w:hAnsi="黑体" w:eastAsia="仿宋_GB2312"/>
          <w:sz w:val="32"/>
          <w:szCs w:val="32"/>
        </w:rPr>
        <w:t>对于申请资料不齐全或不符合法定形式及要求的，应当场或在接收申请资料5个工作日内，一次性告知申请机构需要补正、更正的全部内容，并向申请机构发出《行政许可补正告知书》（见《中国人民银行行政许可程序规定》附件），逾期不告知的，自收到申请资料之日起即为受理。申请材料经过更正、补正后符合法定形式及要求的，应出具《行政许可受理通知书》。申请机构只局部补正，或自补正告知书送达之日起10日内无正当理由未补正的，视为放弃行政许可申请。</w:t>
      </w:r>
    </w:p>
    <w:p>
      <w:pPr>
        <w:ind w:firstLine="636"/>
        <w:jc w:val="left"/>
        <w:rPr>
          <w:rFonts w:ascii="仿宋_GB2312" w:hAnsi="黑体" w:eastAsia="仿宋_GB2312"/>
          <w:sz w:val="32"/>
          <w:szCs w:val="32"/>
        </w:rPr>
      </w:pPr>
      <w:r>
        <w:rPr>
          <w:rFonts w:hint="eastAsia" w:ascii="仿宋_GB2312" w:hAnsi="黑体" w:eastAsia="仿宋_GB2312"/>
          <w:sz w:val="32"/>
          <w:szCs w:val="32"/>
        </w:rPr>
        <w:t>对于申请机构提出的资格认定申请存在以下情形之一的，人民银行国库部门可以不予受理，并于接收申请资料当场或5个工作日内出具《不予受理行政许可决定书》（见《中国人民银行行政许可程序规定》附件），说明不予受理的理由和依据：一是申请的资格认定事项不属于本级人民银行职权范围的；二是申请机构提供的补正资料不齐全、不符合法定形式及要求的；三是申请机构补正后仍存在不符合受理条件的其他情形的。</w:t>
      </w:r>
    </w:p>
    <w:p>
      <w:pPr>
        <w:ind w:firstLine="636"/>
        <w:jc w:val="left"/>
        <w:rPr>
          <w:rFonts w:hint="eastAsia" w:ascii="仿宋_GB2312" w:hAnsi="黑体" w:eastAsia="仿宋_GB2312"/>
          <w:sz w:val="32"/>
          <w:szCs w:val="32"/>
        </w:rPr>
      </w:pPr>
      <w:r>
        <w:rPr>
          <w:rFonts w:hint="eastAsia" w:ascii="仿宋_GB2312" w:hAnsi="黑体" w:eastAsia="仿宋_GB2312"/>
          <w:sz w:val="32"/>
          <w:szCs w:val="32"/>
        </w:rPr>
        <w:t>3、退回申请资料。有下列情形之一的，人民银行国库部门应当退回全部申请材料，并在退回前复印申请机构提交的申请表、申请书、身份证明文件等，与其他相关文书一并归档保存。</w:t>
      </w:r>
    </w:p>
    <w:p>
      <w:pPr>
        <w:ind w:firstLine="636"/>
        <w:jc w:val="left"/>
        <w:rPr>
          <w:rFonts w:hint="eastAsia" w:ascii="仿宋_GB2312" w:hAnsi="黑体" w:eastAsia="仿宋_GB2312"/>
          <w:sz w:val="32"/>
          <w:szCs w:val="32"/>
        </w:rPr>
      </w:pPr>
      <w:r>
        <w:rPr>
          <w:rFonts w:hint="eastAsia" w:ascii="仿宋_GB2312" w:hAnsi="黑体" w:eastAsia="仿宋_GB2312"/>
          <w:sz w:val="32"/>
          <w:szCs w:val="32"/>
        </w:rPr>
        <w:t>（1）人民银行依规不予受理申请或中止审查的；</w:t>
      </w:r>
    </w:p>
    <w:p>
      <w:pPr>
        <w:ind w:firstLine="636"/>
        <w:jc w:val="left"/>
        <w:rPr>
          <w:rFonts w:hint="eastAsia" w:ascii="仿宋_GB2312" w:hAnsi="黑体" w:eastAsia="仿宋_GB2312"/>
          <w:sz w:val="32"/>
          <w:szCs w:val="32"/>
        </w:rPr>
      </w:pPr>
      <w:r>
        <w:rPr>
          <w:rFonts w:hint="eastAsia" w:ascii="仿宋_GB2312" w:hAnsi="黑体" w:eastAsia="仿宋_GB2312"/>
          <w:sz w:val="32"/>
          <w:szCs w:val="32"/>
        </w:rPr>
        <w:t>（2）申请机构在未作出资格认定决定前即已书面请求撤回申请的；</w:t>
      </w:r>
    </w:p>
    <w:p>
      <w:pPr>
        <w:ind w:firstLine="636"/>
        <w:jc w:val="left"/>
        <w:rPr>
          <w:rFonts w:hint="eastAsia" w:ascii="仿宋_GB2312" w:hAnsi="黑体" w:eastAsia="仿宋_GB2312"/>
          <w:sz w:val="32"/>
          <w:szCs w:val="32"/>
        </w:rPr>
      </w:pPr>
      <w:r>
        <w:rPr>
          <w:rFonts w:hint="eastAsia" w:ascii="仿宋_GB2312" w:hAnsi="黑体" w:eastAsia="仿宋_GB2312"/>
          <w:sz w:val="32"/>
          <w:szCs w:val="32"/>
        </w:rPr>
        <w:t>（3）申请机构放弃资格认定申请的。</w:t>
      </w:r>
    </w:p>
    <w:p>
      <w:pPr>
        <w:ind w:firstLine="636"/>
        <w:jc w:val="left"/>
        <w:rPr>
          <w:rFonts w:ascii="仿宋_GB2312" w:hAnsi="黑体" w:eastAsia="仿宋_GB2312"/>
          <w:sz w:val="32"/>
          <w:szCs w:val="32"/>
        </w:rPr>
      </w:pPr>
      <w:r>
        <w:rPr>
          <w:rFonts w:hint="eastAsia" w:ascii="仿宋_GB2312" w:hAnsi="黑体" w:eastAsia="仿宋_GB2312"/>
          <w:b/>
          <w:sz w:val="32"/>
          <w:szCs w:val="32"/>
        </w:rPr>
        <w:t>（四）组织评审</w:t>
      </w:r>
    </w:p>
    <w:p>
      <w:pPr>
        <w:ind w:firstLine="636"/>
        <w:jc w:val="left"/>
        <w:rPr>
          <w:rFonts w:ascii="仿宋_GB2312" w:hAnsi="黑体" w:eastAsia="仿宋_GB2312"/>
          <w:sz w:val="32"/>
          <w:szCs w:val="32"/>
        </w:rPr>
      </w:pPr>
      <w:r>
        <w:rPr>
          <w:rFonts w:hint="eastAsia" w:ascii="仿宋_GB2312" w:hAnsi="黑体" w:eastAsia="仿宋_GB2312"/>
          <w:sz w:val="32"/>
          <w:szCs w:val="32"/>
        </w:rPr>
        <w:t>1、向分管行领导报告。国库部门自受理资格认定申请截止日起3</w:t>
      </w:r>
      <w:r>
        <w:rPr>
          <w:rFonts w:hint="eastAsia" w:ascii="仿宋_GB2312" w:hAnsi="黑体" w:eastAsia="仿宋_GB2312"/>
          <w:sz w:val="32"/>
          <w:szCs w:val="32"/>
          <w:highlight w:val="red"/>
        </w:rPr>
        <w:t>个工作日内</w:t>
      </w:r>
      <w:r>
        <w:rPr>
          <w:rFonts w:hint="eastAsia" w:ascii="仿宋_GB2312" w:hAnsi="黑体" w:eastAsia="仿宋_GB2312"/>
          <w:sz w:val="32"/>
          <w:szCs w:val="32"/>
        </w:rPr>
        <w:t>向本行分管行领导报告资格认定参与机构、申请材料报送及审核情况，确定评审会具体召开时间，并将评审会议时间、具体要求等事宜通知专家评审组成员。</w:t>
      </w:r>
    </w:p>
    <w:p>
      <w:pPr>
        <w:ind w:firstLine="636"/>
        <w:jc w:val="left"/>
        <w:rPr>
          <w:rFonts w:ascii="仿宋_GB2312" w:hAnsi="黑体" w:eastAsia="仿宋_GB2312"/>
          <w:sz w:val="32"/>
          <w:szCs w:val="32"/>
        </w:rPr>
      </w:pPr>
      <w:r>
        <w:rPr>
          <w:rFonts w:hint="eastAsia" w:ascii="仿宋_GB2312" w:hAnsi="黑体" w:eastAsia="仿宋_GB2312"/>
          <w:sz w:val="32"/>
          <w:szCs w:val="32"/>
        </w:rPr>
        <w:t>2、评审材料准备。国库部门在召开评审会之前，严格按照评审办法对各申请机构报送的材料和定性、定量指标进行核实及初步评审，形成初步评审书面报告，并制作评审指标分值表。</w:t>
      </w:r>
    </w:p>
    <w:p>
      <w:pPr>
        <w:ind w:firstLine="636"/>
        <w:jc w:val="left"/>
        <w:rPr>
          <w:rFonts w:hint="eastAsia" w:ascii="仿宋_GB2312" w:hAnsi="黑体" w:eastAsia="仿宋_GB2312"/>
          <w:sz w:val="32"/>
          <w:szCs w:val="32"/>
        </w:rPr>
      </w:pPr>
      <w:r>
        <w:rPr>
          <w:rFonts w:hint="eastAsia" w:ascii="仿宋_GB2312" w:hAnsi="黑体" w:eastAsia="仿宋_GB2312"/>
          <w:sz w:val="32"/>
          <w:szCs w:val="32"/>
        </w:rPr>
        <w:t>3、组织召开评审会。按照确定的评审会议时间，由分管行长主持召开评审会议，专家评审组各位成员到会对申请机构的申请材料及国库部门初步拟定的评审报告进行审核，并进行评审打分和提出评审意见。</w:t>
      </w:r>
    </w:p>
    <w:p>
      <w:pPr>
        <w:ind w:firstLine="636"/>
        <w:jc w:val="left"/>
        <w:rPr>
          <w:rFonts w:ascii="仿宋_GB2312" w:hAnsi="黑体" w:eastAsia="仿宋_GB2312"/>
          <w:sz w:val="32"/>
          <w:szCs w:val="32"/>
        </w:rPr>
      </w:pPr>
      <w:r>
        <w:rPr>
          <w:rFonts w:hint="eastAsia" w:ascii="仿宋_GB2312" w:hAnsi="黑体" w:eastAsia="仿宋_GB2312"/>
          <w:b/>
          <w:sz w:val="32"/>
          <w:szCs w:val="32"/>
        </w:rPr>
        <w:t>（五）法制审核。</w:t>
      </w:r>
      <w:r>
        <w:rPr>
          <w:rFonts w:hint="eastAsia" w:ascii="仿宋_GB2312" w:hAnsi="黑体" w:eastAsia="仿宋_GB2312"/>
          <w:sz w:val="32"/>
          <w:szCs w:val="32"/>
        </w:rPr>
        <w:t>国库部门根据专家评审会最终评审结果，初步拟定准予资格认定决定意见或不予资格认定决定意见，连同申请材料、会议记录等相关材料送本行法律事务部门进行法制审核，由法律事务部门出具书面法制审核意见。</w:t>
      </w:r>
    </w:p>
    <w:p>
      <w:pPr>
        <w:ind w:firstLine="636"/>
        <w:jc w:val="left"/>
        <w:rPr>
          <w:rFonts w:ascii="仿宋_GB2312" w:hAnsi="黑体" w:eastAsia="仿宋_GB2312"/>
          <w:sz w:val="32"/>
          <w:szCs w:val="32"/>
        </w:rPr>
      </w:pPr>
      <w:r>
        <w:rPr>
          <w:rFonts w:hint="eastAsia" w:ascii="仿宋_GB2312" w:hAnsi="黑体" w:eastAsia="仿宋_GB2312"/>
          <w:b/>
          <w:sz w:val="32"/>
          <w:szCs w:val="32"/>
        </w:rPr>
        <w:t>（六）作出决定。</w:t>
      </w:r>
      <w:r>
        <w:rPr>
          <w:rFonts w:hint="eastAsia" w:ascii="仿宋_GB2312" w:hAnsi="黑体" w:eastAsia="仿宋_GB2312"/>
          <w:sz w:val="32"/>
          <w:szCs w:val="32"/>
        </w:rPr>
        <w:t>经法制审核后，国库部门制作准予资格认定决定书或不予资格认定决定书，连同法律事务部门出具的法制审核意见，一并报本行行长或分管副行长审查批准。</w:t>
      </w:r>
    </w:p>
    <w:p>
      <w:pPr>
        <w:ind w:firstLine="636"/>
        <w:jc w:val="left"/>
        <w:rPr>
          <w:rFonts w:ascii="仿宋_GB2312" w:hAnsi="黑体" w:eastAsia="仿宋_GB2312"/>
          <w:sz w:val="32"/>
          <w:szCs w:val="32"/>
        </w:rPr>
      </w:pPr>
      <w:r>
        <w:rPr>
          <w:rFonts w:hint="eastAsia" w:ascii="仿宋_GB2312" w:hAnsi="黑体" w:eastAsia="仿宋_GB2312"/>
          <w:sz w:val="32"/>
          <w:szCs w:val="32"/>
        </w:rPr>
        <w:t xml:space="preserve"> 国库部门应当自受理资格认定申请之日起</w:t>
      </w:r>
      <w:r>
        <w:rPr>
          <w:rFonts w:hint="eastAsia" w:ascii="仿宋_GB2312" w:hAnsi="黑体" w:eastAsia="仿宋_GB2312"/>
          <w:sz w:val="32"/>
          <w:szCs w:val="32"/>
          <w:lang w:val="en-US" w:eastAsia="zh-CN"/>
        </w:rPr>
        <w:t>20</w:t>
      </w:r>
      <w:r>
        <w:rPr>
          <w:rFonts w:hint="eastAsia" w:ascii="仿宋_GB2312" w:hAnsi="黑体" w:eastAsia="仿宋_GB2312"/>
          <w:sz w:val="32"/>
          <w:szCs w:val="32"/>
        </w:rPr>
        <w:t>个工作日内作出资格认定决定。</w:t>
      </w:r>
      <w:r>
        <w:rPr>
          <w:rFonts w:hint="eastAsia" w:ascii="仿宋_GB2312" w:hAnsi="黑体" w:eastAsia="仿宋_GB2312"/>
          <w:sz w:val="32"/>
          <w:szCs w:val="32"/>
          <w:lang w:val="en-US" w:eastAsia="zh-CN"/>
        </w:rPr>
        <w:t>20</w:t>
      </w:r>
      <w:r>
        <w:rPr>
          <w:rFonts w:hint="eastAsia" w:ascii="仿宋_GB2312" w:hAnsi="黑体" w:eastAsia="仿宋_GB2312"/>
          <w:sz w:val="32"/>
          <w:szCs w:val="32"/>
        </w:rPr>
        <w:t>个工作日内不能作出决定的，经本行行长批准后，可以延长10个工作日，并将延长期限的理由告知申请机构。</w:t>
      </w:r>
    </w:p>
    <w:p>
      <w:pPr>
        <w:ind w:firstLine="636"/>
        <w:jc w:val="left"/>
        <w:rPr>
          <w:rFonts w:ascii="仿宋_GB2312" w:hAnsi="黑体" w:eastAsia="仿宋_GB2312"/>
          <w:sz w:val="32"/>
          <w:szCs w:val="32"/>
        </w:rPr>
      </w:pPr>
      <w:r>
        <w:rPr>
          <w:rFonts w:hint="eastAsia" w:ascii="仿宋_GB2312" w:hAnsi="黑体" w:eastAsia="仿宋_GB2312"/>
          <w:sz w:val="32"/>
          <w:szCs w:val="32"/>
        </w:rPr>
        <w:t>准予资格认定决定书或不予资格认定决定书应当由本行统一编号(不得由国库部门自行编制字号),加盖本行行章,注明日期。</w:t>
      </w:r>
    </w:p>
    <w:p>
      <w:pPr>
        <w:ind w:firstLine="636"/>
        <w:jc w:val="left"/>
        <w:rPr>
          <w:rFonts w:ascii="仿宋_GB2312" w:hAnsi="黑体" w:eastAsia="仿宋_GB2312"/>
          <w:sz w:val="32"/>
          <w:szCs w:val="32"/>
        </w:rPr>
      </w:pPr>
      <w:r>
        <w:rPr>
          <w:rFonts w:hint="eastAsia" w:ascii="仿宋_GB2312" w:hAnsi="黑体" w:eastAsia="仿宋_GB2312"/>
          <w:b/>
          <w:sz w:val="32"/>
          <w:szCs w:val="32"/>
        </w:rPr>
        <w:t>（七）结果送达及公示。</w:t>
      </w:r>
      <w:r>
        <w:rPr>
          <w:rFonts w:hint="eastAsia" w:ascii="仿宋_GB2312" w:hAnsi="黑体" w:eastAsia="仿宋_GB2312"/>
          <w:sz w:val="32"/>
          <w:szCs w:val="32"/>
        </w:rPr>
        <w:t>国库部门应当自作出资格认定决定之日起10个工作日内将准予资格认定决定书或不予资格认定决定书送达申请机构，并在人民银行分支机构官网以公告的形式或行发文形式公开发布准予资格认定结果。</w:t>
      </w:r>
    </w:p>
    <w:p>
      <w:pPr>
        <w:ind w:firstLine="636"/>
        <w:jc w:val="left"/>
        <w:rPr>
          <w:rFonts w:hint="eastAsia" w:ascii="仿宋_GB2312" w:hAnsi="黑体" w:eastAsia="仿宋_GB2312"/>
          <w:sz w:val="32"/>
          <w:szCs w:val="32"/>
        </w:rPr>
      </w:pPr>
      <w:r>
        <w:rPr>
          <w:rFonts w:hint="eastAsia" w:ascii="仿宋_GB2312" w:hAnsi="黑体" w:eastAsia="仿宋_GB2312"/>
          <w:b/>
          <w:sz w:val="32"/>
          <w:szCs w:val="32"/>
        </w:rPr>
        <w:t>（八）档案管理及报备。</w:t>
      </w:r>
      <w:r>
        <w:rPr>
          <w:rFonts w:hint="eastAsia" w:ascii="仿宋_GB2312" w:hAnsi="黑体" w:eastAsia="仿宋_GB2312"/>
          <w:sz w:val="32"/>
          <w:szCs w:val="32"/>
        </w:rPr>
        <w:t>国库部门应当加强资格认定档案管理，妥善保存资格认定申请材料、审查记录、核实记录、评审意见和评审会议记录及相关行政文书等资料，资格认定档案资料管理按照行政许可案卷管理相关制度执行。</w:t>
      </w:r>
    </w:p>
    <w:p>
      <w:pPr>
        <w:ind w:firstLine="636"/>
        <w:jc w:val="left"/>
        <w:rPr>
          <w:rFonts w:ascii="仿宋_GB2312" w:hAnsi="黑体" w:eastAsia="仿宋_GB2312"/>
          <w:b/>
          <w:sz w:val="32"/>
          <w:szCs w:val="32"/>
        </w:rPr>
      </w:pPr>
      <w:r>
        <w:rPr>
          <w:rFonts w:hint="eastAsia" w:ascii="仿宋_GB2312" w:hAnsi="黑体" w:eastAsia="仿宋_GB2312"/>
          <w:b/>
          <w:sz w:val="32"/>
          <w:szCs w:val="32"/>
          <w:lang w:eastAsia="zh-CN"/>
        </w:rPr>
        <w:t>十</w:t>
      </w:r>
      <w:r>
        <w:rPr>
          <w:rFonts w:hint="eastAsia" w:ascii="仿宋_GB2312" w:hAnsi="黑体" w:eastAsia="仿宋_GB2312"/>
          <w:b/>
          <w:sz w:val="32"/>
          <w:szCs w:val="32"/>
        </w:rPr>
        <w:t>、资格认定变更、延续</w:t>
      </w:r>
    </w:p>
    <w:p>
      <w:pPr>
        <w:ind w:firstLine="636"/>
        <w:jc w:val="left"/>
        <w:rPr>
          <w:rFonts w:ascii="仿宋_GB2312" w:hAnsi="黑体" w:eastAsia="仿宋_GB2312"/>
          <w:sz w:val="32"/>
          <w:szCs w:val="32"/>
        </w:rPr>
      </w:pPr>
      <w:r>
        <w:rPr>
          <w:rFonts w:hint="eastAsia" w:ascii="仿宋_GB2312" w:hAnsi="黑体" w:eastAsia="仿宋_GB2312"/>
          <w:b/>
          <w:sz w:val="32"/>
          <w:szCs w:val="32"/>
        </w:rPr>
        <w:t>（一）资格认定变更。</w:t>
      </w:r>
      <w:r>
        <w:rPr>
          <w:rFonts w:hint="eastAsia" w:ascii="仿宋_GB2312" w:hAnsi="黑体" w:eastAsia="仿宋_GB2312"/>
          <w:sz w:val="32"/>
          <w:szCs w:val="32"/>
        </w:rPr>
        <w:t>因代理银行机构名称变更，需要拟变更资格认定决定书的，应当向作出资格认定的人民银行分支机构国库部门提出申请，并提供相关变更资料，经审查符合变更条件的，国库部门报经本行行长或分管副行长审核批准后作出变更决定。</w:t>
      </w:r>
    </w:p>
    <w:p>
      <w:pPr>
        <w:ind w:firstLine="636"/>
        <w:jc w:val="left"/>
        <w:rPr>
          <w:rFonts w:ascii="仿宋_GB2312" w:hAnsi="黑体" w:eastAsia="仿宋_GB2312"/>
          <w:sz w:val="32"/>
          <w:szCs w:val="32"/>
        </w:rPr>
      </w:pPr>
      <w:r>
        <w:rPr>
          <w:rFonts w:hint="eastAsia" w:ascii="仿宋_GB2312" w:hAnsi="黑体" w:eastAsia="仿宋_GB2312"/>
          <w:b/>
          <w:sz w:val="32"/>
          <w:szCs w:val="32"/>
        </w:rPr>
        <w:t>（二）资格认定延续。</w:t>
      </w:r>
      <w:r>
        <w:rPr>
          <w:rFonts w:hint="eastAsia" w:ascii="仿宋_GB2312" w:hAnsi="黑体" w:eastAsia="仿宋_GB2312"/>
          <w:sz w:val="32"/>
          <w:szCs w:val="32"/>
        </w:rPr>
        <w:t>国库集中收付代理银行资格认定有效期满后，代理银行拟继续办理国库集中收付代理业务的，应当在期满前6个月内向作出资格认定决定的人民银行分支机构国库部门申请延续，并提交相关的申请材料（同初次申请时所提交的材料）。国库部门收到代理银行延续申请后，按照《中国人民银行行政许可实施办法》第四十八条要求，综合国库集中收付代理银行资格认定条件、代理银行过往代理国库集中收付业务情况，在有效期届满前依法作出是否准予延续的决定。</w:t>
      </w:r>
    </w:p>
    <w:p>
      <w:pPr>
        <w:ind w:firstLine="636"/>
        <w:jc w:val="left"/>
        <w:rPr>
          <w:rFonts w:ascii="仿宋_GB2312" w:hAnsi="黑体" w:eastAsia="仿宋_GB2312"/>
          <w:sz w:val="32"/>
          <w:szCs w:val="32"/>
        </w:rPr>
      </w:pPr>
      <w:r>
        <w:rPr>
          <w:rFonts w:hint="eastAsia" w:ascii="仿宋_GB2312" w:hAnsi="黑体" w:eastAsia="仿宋_GB2312"/>
          <w:b/>
          <w:sz w:val="32"/>
          <w:szCs w:val="32"/>
        </w:rPr>
        <w:t xml:space="preserve">   </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附录：1.流程图</w:t>
      </w:r>
    </w:p>
    <w:p>
      <w:pPr>
        <w:numPr>
          <w:ilvl w:val="0"/>
          <w:numId w:val="0"/>
        </w:numPr>
        <w:spacing w:line="560" w:lineRule="exact"/>
        <w:ind w:firstLine="1600" w:firstLineChars="500"/>
        <w:rPr>
          <w:rFonts w:hint="eastAsia" w:ascii="仿宋_GB2312" w:hAnsi="黑体" w:eastAsia="仿宋_GB2312"/>
          <w:sz w:val="32"/>
          <w:szCs w:val="32"/>
        </w:rPr>
      </w:pPr>
      <w:r>
        <w:rPr>
          <w:rFonts w:hint="eastAsia" w:ascii="仿宋_GB2312" w:hAnsi="黑体" w:eastAsia="仿宋_GB2312"/>
          <w:sz w:val="32"/>
          <w:szCs w:val="32"/>
          <w:lang w:val="en-US" w:eastAsia="zh-CN"/>
        </w:rPr>
        <w:t>2.</w:t>
      </w:r>
      <w:r>
        <w:rPr>
          <w:rFonts w:hint="eastAsia" w:ascii="仿宋_GB2312" w:hAnsi="黑体" w:eastAsia="仿宋_GB2312"/>
          <w:sz w:val="32"/>
          <w:szCs w:val="32"/>
        </w:rPr>
        <w:t>申请材料示范文本</w:t>
      </w:r>
    </w:p>
    <w:p>
      <w:pPr>
        <w:numPr>
          <w:ilvl w:val="0"/>
          <w:numId w:val="0"/>
        </w:numPr>
        <w:spacing w:line="560" w:lineRule="exact"/>
        <w:ind w:firstLine="1600" w:firstLineChars="500"/>
        <w:rPr>
          <w:rFonts w:ascii="仿宋_GB2312" w:hAnsi="黑体" w:eastAsia="仿宋_GB2312"/>
          <w:sz w:val="32"/>
          <w:szCs w:val="32"/>
        </w:rPr>
      </w:pPr>
      <w:r>
        <w:rPr>
          <w:rFonts w:hint="eastAsia" w:ascii="仿宋_GB2312" w:hAnsi="黑体" w:eastAsia="仿宋_GB2312"/>
          <w:sz w:val="32"/>
          <w:szCs w:val="32"/>
          <w:lang w:val="en-US" w:eastAsia="zh-CN"/>
        </w:rPr>
        <w:t>3.</w:t>
      </w:r>
      <w:r>
        <w:rPr>
          <w:rFonts w:hint="eastAsia" w:ascii="仿宋_GB2312" w:hAnsi="黑体" w:eastAsia="仿宋_GB2312"/>
          <w:sz w:val="32"/>
          <w:szCs w:val="32"/>
        </w:rPr>
        <w:t>常见错误示例</w:t>
      </w:r>
    </w:p>
    <w:p>
      <w:pPr>
        <w:spacing w:line="560" w:lineRule="exact"/>
        <w:ind w:firstLine="1600" w:firstLineChars="500"/>
        <w:rPr>
          <w:rFonts w:ascii="仿宋_GB2312" w:hAnsi="黑体" w:eastAsia="仿宋_GB2312"/>
          <w:sz w:val="32"/>
          <w:szCs w:val="32"/>
        </w:rPr>
      </w:pPr>
      <w:r>
        <w:rPr>
          <w:rFonts w:hint="eastAsia" w:ascii="仿宋_GB2312" w:hAnsi="黑体" w:eastAsia="仿宋_GB2312"/>
          <w:sz w:val="32"/>
          <w:szCs w:val="32"/>
          <w:lang w:val="en-US" w:eastAsia="zh-CN"/>
        </w:rPr>
        <w:t>4.</w:t>
      </w:r>
      <w:r>
        <w:rPr>
          <w:rFonts w:hint="eastAsia" w:ascii="仿宋_GB2312" w:hAnsi="黑体" w:eastAsia="仿宋_GB2312"/>
          <w:sz w:val="32"/>
          <w:szCs w:val="32"/>
        </w:rPr>
        <w:t>常见问题回答</w:t>
      </w:r>
    </w:p>
    <w:p>
      <w:pPr>
        <w:spacing w:line="560" w:lineRule="exact"/>
        <w:rPr>
          <w:rFonts w:hint="eastAsia" w:ascii="仿宋_GB2312" w:hAnsi="黑体" w:eastAsia="仿宋_GB2312"/>
          <w:sz w:val="30"/>
          <w:szCs w:val="30"/>
        </w:rPr>
      </w:pPr>
    </w:p>
    <w:p>
      <w:pPr>
        <w:spacing w:line="560" w:lineRule="exact"/>
        <w:rPr>
          <w:rFonts w:hint="eastAsia" w:ascii="仿宋_GB2312" w:hAnsi="黑体" w:eastAsia="仿宋_GB2312"/>
          <w:sz w:val="30"/>
          <w:szCs w:val="30"/>
        </w:rPr>
      </w:pPr>
    </w:p>
    <w:p>
      <w:pPr>
        <w:spacing w:line="560" w:lineRule="exact"/>
        <w:rPr>
          <w:rFonts w:ascii="仿宋_GB2312" w:hAnsi="黑体" w:eastAsia="仿宋_GB2312"/>
          <w:sz w:val="30"/>
          <w:szCs w:val="30"/>
        </w:rPr>
      </w:pPr>
      <w:r>
        <w:rPr>
          <w:rFonts w:hint="eastAsia" w:ascii="仿宋_GB2312" w:hAnsi="黑体" w:eastAsia="仿宋_GB2312"/>
          <w:sz w:val="30"/>
          <w:szCs w:val="30"/>
        </w:rPr>
        <w:t>附录1</w:t>
      </w:r>
    </w:p>
    <w:p>
      <w:pPr>
        <w:spacing w:line="56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流程图</w:t>
      </w:r>
    </w:p>
    <w:p>
      <w:pPr>
        <w:spacing w:line="560" w:lineRule="exact"/>
        <w:rPr>
          <w:rFonts w:ascii="方正小标宋简体" w:hAnsi="黑体" w:eastAsia="方正小标宋简体"/>
          <w:sz w:val="30"/>
          <w:szCs w:val="30"/>
        </w:rPr>
      </w:pPr>
      <w:bookmarkStart w:id="0" w:name="_GoBack"/>
      <w:bookmarkEnd w:id="0"/>
      <w:r>
        <w:rPr>
          <w:rFonts w:ascii="方正小标宋简体" w:hAnsi="黑体" w:eastAsia="方正小标宋简体" w:cs="黑体"/>
          <w:kern w:val="2"/>
          <w:sz w:val="30"/>
          <w:szCs w:val="30"/>
          <w:lang w:val="en-US" w:eastAsia="zh-CN" w:bidi="ar-SA"/>
        </w:rPr>
        <mc:AlternateContent>
          <mc:Choice Requires="wpg">
            <w:drawing>
              <wp:anchor distT="0" distB="0" distL="114300" distR="114300" simplePos="0" relativeHeight="251667456" behindDoc="0" locked="0" layoutInCell="1" allowOverlap="1">
                <wp:simplePos x="0" y="0"/>
                <wp:positionH relativeFrom="column">
                  <wp:posOffset>-99060</wp:posOffset>
                </wp:positionH>
                <wp:positionV relativeFrom="paragraph">
                  <wp:posOffset>152400</wp:posOffset>
                </wp:positionV>
                <wp:extent cx="5954395" cy="7918450"/>
                <wp:effectExtent l="4445" t="4445" r="22860" b="20955"/>
                <wp:wrapNone/>
                <wp:docPr id="72" name="Group 95"/>
                <wp:cNvGraphicFramePr/>
                <a:graphic xmlns:a="http://schemas.openxmlformats.org/drawingml/2006/main">
                  <a:graphicData uri="http://schemas.microsoft.com/office/word/2010/wordprocessingGroup">
                    <wpg:wgp>
                      <wpg:cNvGrpSpPr/>
                      <wpg:grpSpPr>
                        <a:xfrm>
                          <a:off x="0" y="0"/>
                          <a:ext cx="5954395" cy="7918450"/>
                          <a:chOff x="1644" y="2800"/>
                          <a:chExt cx="9066" cy="12470"/>
                        </a:xfrm>
                        <a:effectLst/>
                      </wpg:grpSpPr>
                      <wpg:grpSp>
                        <wpg:cNvPr id="12" name="Group 66"/>
                        <wpg:cNvGrpSpPr/>
                        <wpg:grpSpPr>
                          <a:xfrm>
                            <a:off x="7725" y="6552"/>
                            <a:ext cx="2550" cy="885"/>
                            <a:chOff x="7935" y="6840"/>
                            <a:chExt cx="2550" cy="885"/>
                          </a:xfrm>
                          <a:effectLst/>
                        </wpg:grpSpPr>
                        <wps:wsp>
                          <wps:cNvPr id="10" name="Quad Arrow 80"/>
                          <wps:cNvSpPr txBox="1"/>
                          <wps:spPr>
                            <a:xfrm>
                              <a:off x="8031" y="6957"/>
                              <a:ext cx="2310" cy="768"/>
                            </a:xfrm>
                            <a:prstGeom prst="rect">
                              <a:avLst/>
                            </a:prstGeom>
                            <a:noFill/>
                            <a:ln>
                              <a:noFill/>
                            </a:ln>
                            <a:effectLst/>
                          </wps:spPr>
                          <wps:txbx>
                            <w:txbxContent>
                              <w:p>
                                <w:pPr>
                                  <w:jc w:val="center"/>
                                  <w:rPr>
                                    <w:sz w:val="18"/>
                                    <w:szCs w:val="18"/>
                                  </w:rPr>
                                </w:pPr>
                                <w:r>
                                  <w:rPr>
                                    <w:rFonts w:hint="eastAsia"/>
                                    <w:sz w:val="18"/>
                                    <w:szCs w:val="18"/>
                                  </w:rPr>
                                  <w:t>告知申请人补齐全部材料，出具补正告知书</w:t>
                                </w:r>
                              </w:p>
                            </w:txbxContent>
                          </wps:txbx>
                          <wps:bodyPr vert="horz" anchor="t" anchorCtr="0" upright="1"/>
                        </wps:wsp>
                        <wps:wsp>
                          <wps:cNvPr id="11" name="Rectangle 79"/>
                          <wps:cNvSpPr/>
                          <wps:spPr>
                            <a:xfrm>
                              <a:off x="7935" y="6840"/>
                              <a:ext cx="2550" cy="885"/>
                            </a:xfrm>
                            <a:prstGeom prst="rect">
                              <a:avLst/>
                            </a:prstGeom>
                            <a:noFill/>
                            <a:ln w="9525" cap="flat" cmpd="sng">
                              <a:solidFill>
                                <a:srgbClr val="000000"/>
                              </a:solidFill>
                              <a:prstDash val="solid"/>
                              <a:miter/>
                              <a:headEnd type="none" w="med" len="med"/>
                              <a:tailEnd type="none" w="med" len="med"/>
                            </a:ln>
                            <a:effectLst/>
                          </wps:spPr>
                          <wps:bodyPr vert="horz" anchor="t" anchorCtr="0" upright="1"/>
                        </wps:wsp>
                      </wpg:grpSp>
                      <wpg:grpSp>
                        <wpg:cNvPr id="15" name="Group 61"/>
                        <wpg:cNvGrpSpPr/>
                        <wpg:grpSpPr>
                          <a:xfrm>
                            <a:off x="4800" y="2800"/>
                            <a:ext cx="2550" cy="870"/>
                            <a:chOff x="4800" y="2800"/>
                            <a:chExt cx="2550" cy="870"/>
                          </a:xfrm>
                          <a:effectLst/>
                        </wpg:grpSpPr>
                        <wps:wsp>
                          <wps:cNvPr id="13" name="Rounded Rectangle 70"/>
                          <wps:cNvSpPr/>
                          <wps:spPr>
                            <a:xfrm>
                              <a:off x="4800" y="2800"/>
                              <a:ext cx="2550" cy="644"/>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bodyPr vert="horz" anchor="t" anchorCtr="0" upright="1"/>
                        </wps:wsp>
                        <wps:wsp>
                          <wps:cNvPr id="14" name="Quad Arrow 71"/>
                          <wps:cNvSpPr txBox="1"/>
                          <wps:spPr>
                            <a:xfrm>
                              <a:off x="4881" y="2935"/>
                              <a:ext cx="2310" cy="735"/>
                            </a:xfrm>
                            <a:prstGeom prst="rect">
                              <a:avLst/>
                            </a:prstGeom>
                            <a:noFill/>
                            <a:ln>
                              <a:noFill/>
                            </a:ln>
                            <a:effectLst/>
                          </wps:spPr>
                          <wps:txbx>
                            <w:txbxContent>
                              <w:p>
                                <w:pPr>
                                  <w:jc w:val="center"/>
                                  <w:rPr>
                                    <w:sz w:val="18"/>
                                    <w:szCs w:val="18"/>
                                  </w:rPr>
                                </w:pPr>
                                <w:r>
                                  <w:rPr>
                                    <w:rFonts w:hint="eastAsia"/>
                                    <w:sz w:val="18"/>
                                    <w:szCs w:val="18"/>
                                  </w:rPr>
                                  <w:t>申请人现场提交材料</w:t>
                                </w:r>
                              </w:p>
                            </w:txbxContent>
                          </wps:txbx>
                          <wps:bodyPr vert="horz" anchor="t" anchorCtr="0" upright="1"/>
                        </wps:wsp>
                      </wpg:grpSp>
                      <wpg:grpSp>
                        <wpg:cNvPr id="18" name="Group 62"/>
                        <wpg:cNvGrpSpPr/>
                        <wpg:grpSpPr>
                          <a:xfrm>
                            <a:off x="4758" y="3767"/>
                            <a:ext cx="2550" cy="888"/>
                            <a:chOff x="4758" y="3767"/>
                            <a:chExt cx="2550" cy="888"/>
                          </a:xfrm>
                          <a:effectLst/>
                        </wpg:grpSpPr>
                        <wps:wsp>
                          <wps:cNvPr id="16" name="Quad Arrow 72"/>
                          <wps:cNvSpPr txBox="1"/>
                          <wps:spPr>
                            <a:xfrm>
                              <a:off x="4800" y="3890"/>
                              <a:ext cx="2508" cy="765"/>
                            </a:xfrm>
                            <a:prstGeom prst="rect">
                              <a:avLst/>
                            </a:prstGeom>
                            <a:noFill/>
                            <a:ln>
                              <a:noFill/>
                            </a:ln>
                            <a:effectLst/>
                          </wps:spPr>
                          <wps:txbx>
                            <w:txbxContent>
                              <w:p>
                                <w:pPr>
                                  <w:jc w:val="center"/>
                                  <w:rPr>
                                    <w:sz w:val="18"/>
                                    <w:szCs w:val="18"/>
                                  </w:rPr>
                                </w:pPr>
                                <w:r>
                                  <w:rPr>
                                    <w:rFonts w:hint="eastAsia"/>
                                    <w:sz w:val="18"/>
                                    <w:szCs w:val="18"/>
                                  </w:rPr>
                                  <w:t>中国人民银行分支机构国库部门接收并审核申请材料</w:t>
                                </w:r>
                              </w:p>
                            </w:txbxContent>
                          </wps:txbx>
                          <wps:bodyPr vert="horz" anchor="t" anchorCtr="0" upright="1"/>
                        </wps:wsp>
                        <wps:wsp>
                          <wps:cNvPr id="17" name="Rectangle 73"/>
                          <wps:cNvSpPr/>
                          <wps:spPr>
                            <a:xfrm>
                              <a:off x="4758" y="3767"/>
                              <a:ext cx="2550" cy="888"/>
                            </a:xfrm>
                            <a:prstGeom prst="rect">
                              <a:avLst/>
                            </a:prstGeom>
                            <a:noFill/>
                            <a:ln w="9525" cap="flat" cmpd="sng">
                              <a:solidFill>
                                <a:srgbClr val="000000"/>
                              </a:solidFill>
                              <a:prstDash val="solid"/>
                              <a:miter/>
                              <a:headEnd type="none" w="med" len="med"/>
                              <a:tailEnd type="none" w="med" len="med"/>
                            </a:ln>
                            <a:effectLst/>
                          </wps:spPr>
                          <wps:bodyPr vert="horz" anchor="t" anchorCtr="0" upright="1"/>
                        </wps:wsp>
                      </wpg:grpSp>
                      <wpg:grpSp>
                        <wpg:cNvPr id="21" name="Group 64"/>
                        <wpg:cNvGrpSpPr/>
                        <wpg:grpSpPr>
                          <a:xfrm>
                            <a:off x="1716" y="5335"/>
                            <a:ext cx="3165" cy="905"/>
                            <a:chOff x="1865" y="5335"/>
                            <a:chExt cx="2820" cy="905"/>
                          </a:xfrm>
                          <a:effectLst/>
                        </wpg:grpSpPr>
                        <wps:wsp>
                          <wps:cNvPr id="19" name="Diamond 77"/>
                          <wps:cNvSpPr/>
                          <wps:spPr>
                            <a:xfrm>
                              <a:off x="1865" y="5335"/>
                              <a:ext cx="2820" cy="905"/>
                            </a:xfrm>
                            <a:prstGeom prst="diamond">
                              <a:avLst/>
                            </a:prstGeom>
                            <a:solidFill>
                              <a:srgbClr val="FFFFFF"/>
                            </a:solidFill>
                            <a:ln w="9525" cap="flat" cmpd="sng">
                              <a:solidFill>
                                <a:srgbClr val="000000"/>
                              </a:solidFill>
                              <a:prstDash val="solid"/>
                              <a:miter/>
                              <a:headEnd type="none" w="med" len="med"/>
                              <a:tailEnd type="none" w="med" len="med"/>
                            </a:ln>
                            <a:effectLst/>
                          </wps:spPr>
                          <wps:bodyPr vert="horz" anchor="t" anchorCtr="0" upright="1"/>
                        </wps:wsp>
                        <wps:wsp>
                          <wps:cNvPr id="20" name="Quad Arrow 78"/>
                          <wps:cNvSpPr txBox="1"/>
                          <wps:spPr>
                            <a:xfrm>
                              <a:off x="2219" y="5573"/>
                              <a:ext cx="1995" cy="513"/>
                            </a:xfrm>
                            <a:prstGeom prst="rect">
                              <a:avLst/>
                            </a:prstGeom>
                            <a:noFill/>
                            <a:ln>
                              <a:noFill/>
                            </a:ln>
                            <a:effectLst/>
                          </wps:spPr>
                          <wps:txbx>
                            <w:txbxContent>
                              <w:p>
                                <w:pPr>
                                  <w:jc w:val="center"/>
                                  <w:rPr>
                                    <w:sz w:val="18"/>
                                    <w:szCs w:val="18"/>
                                  </w:rPr>
                                </w:pPr>
                                <w:r>
                                  <w:rPr>
                                    <w:rFonts w:hint="eastAsia"/>
                                    <w:sz w:val="18"/>
                                    <w:szCs w:val="18"/>
                                  </w:rPr>
                                  <w:t>材料齐全，符合法定形式</w:t>
                                </w:r>
                              </w:p>
                            </w:txbxContent>
                          </wps:txbx>
                          <wps:bodyPr vert="horz" anchor="t" anchorCtr="0" upright="1"/>
                        </wps:wsp>
                      </wpg:grpSp>
                      <wpg:grpSp>
                        <wpg:cNvPr id="24" name="Group 65"/>
                        <wpg:cNvGrpSpPr/>
                        <wpg:grpSpPr>
                          <a:xfrm>
                            <a:off x="7605" y="5344"/>
                            <a:ext cx="2820" cy="812"/>
                            <a:chOff x="7605" y="5344"/>
                            <a:chExt cx="2820" cy="812"/>
                          </a:xfrm>
                          <a:effectLst/>
                        </wpg:grpSpPr>
                        <wps:wsp>
                          <wps:cNvPr id="22" name="Diamond 77"/>
                          <wps:cNvSpPr/>
                          <wps:spPr>
                            <a:xfrm>
                              <a:off x="7605" y="5344"/>
                              <a:ext cx="2820" cy="812"/>
                            </a:xfrm>
                            <a:prstGeom prst="diamond">
                              <a:avLst/>
                            </a:prstGeom>
                            <a:solidFill>
                              <a:srgbClr val="FFFFFF"/>
                            </a:solidFill>
                            <a:ln w="9525" cap="flat" cmpd="sng">
                              <a:solidFill>
                                <a:srgbClr val="000000"/>
                              </a:solidFill>
                              <a:prstDash val="solid"/>
                              <a:miter/>
                              <a:headEnd type="none" w="med" len="med"/>
                              <a:tailEnd type="none" w="med" len="med"/>
                            </a:ln>
                            <a:effectLst/>
                          </wps:spPr>
                          <wps:bodyPr vert="horz" anchor="t" anchorCtr="0" upright="1"/>
                        </wps:wsp>
                        <wps:wsp>
                          <wps:cNvPr id="23" name="Quad Arrow 82"/>
                          <wps:cNvSpPr txBox="1"/>
                          <wps:spPr>
                            <a:xfrm>
                              <a:off x="7785" y="5573"/>
                              <a:ext cx="2466" cy="456"/>
                            </a:xfrm>
                            <a:prstGeom prst="rect">
                              <a:avLst/>
                            </a:prstGeom>
                            <a:noFill/>
                            <a:ln>
                              <a:noFill/>
                            </a:ln>
                            <a:effectLst/>
                          </wps:spPr>
                          <wps:txbx>
                            <w:txbxContent>
                              <w:p>
                                <w:pPr>
                                  <w:rPr>
                                    <w:sz w:val="18"/>
                                    <w:szCs w:val="18"/>
                                  </w:rPr>
                                </w:pPr>
                                <w:r>
                                  <w:rPr>
                                    <w:rFonts w:hint="eastAsia"/>
                                    <w:sz w:val="18"/>
                                    <w:szCs w:val="18"/>
                                  </w:rPr>
                                  <w:t>材料不全，不符合法定形式</w:t>
                                </w:r>
                              </w:p>
                            </w:txbxContent>
                          </wps:txbx>
                          <wps:bodyPr vert="horz" wrap="square" anchor="t" anchorCtr="0" upright="1">
                            <a:spAutoFit/>
                          </wps:bodyPr>
                        </wps:wsp>
                      </wpg:grpSp>
                      <wpg:grpSp>
                        <wpg:cNvPr id="27" name="Group 70"/>
                        <wpg:cNvGrpSpPr/>
                        <wpg:grpSpPr>
                          <a:xfrm>
                            <a:off x="3576" y="7437"/>
                            <a:ext cx="2805" cy="1290"/>
                            <a:chOff x="4230" y="7437"/>
                            <a:chExt cx="2805" cy="1290"/>
                          </a:xfrm>
                          <a:effectLst/>
                        </wpg:grpSpPr>
                        <wps:wsp>
                          <wps:cNvPr id="25" name="Rectangle 83"/>
                          <wps:cNvSpPr/>
                          <wps:spPr>
                            <a:xfrm>
                              <a:off x="4230" y="7437"/>
                              <a:ext cx="2805" cy="1290"/>
                            </a:xfrm>
                            <a:prstGeom prst="rect">
                              <a:avLst/>
                            </a:prstGeom>
                            <a:noFill/>
                            <a:ln w="9525" cap="flat" cmpd="sng">
                              <a:solidFill>
                                <a:srgbClr val="000000"/>
                              </a:solidFill>
                              <a:prstDash val="solid"/>
                              <a:miter/>
                              <a:headEnd type="none" w="med" len="med"/>
                              <a:tailEnd type="none" w="med" len="med"/>
                            </a:ln>
                            <a:effectLst/>
                          </wps:spPr>
                          <wps:bodyPr vert="horz" anchor="t" anchorCtr="0" upright="1"/>
                        </wps:wsp>
                        <wps:wsp>
                          <wps:cNvPr id="26" name="Quad Arrow 84"/>
                          <wps:cNvSpPr txBox="1"/>
                          <wps:spPr>
                            <a:xfrm>
                              <a:off x="4352" y="7624"/>
                              <a:ext cx="2526" cy="933"/>
                            </a:xfrm>
                            <a:prstGeom prst="rect">
                              <a:avLst/>
                            </a:prstGeom>
                            <a:noFill/>
                            <a:ln>
                              <a:noFill/>
                            </a:ln>
                            <a:effectLst/>
                          </wps:spPr>
                          <wps:txbx>
                            <w:txbxContent>
                              <w:p>
                                <w:pPr>
                                  <w:rPr>
                                    <w:szCs w:val="21"/>
                                  </w:rPr>
                                </w:pPr>
                                <w:r>
                                  <w:rPr>
                                    <w:rFonts w:hint="eastAsia"/>
                                    <w:szCs w:val="21"/>
                                  </w:rPr>
                                  <w:t>受理，并向申请人发出《行政许可受理通知书》</w:t>
                                </w:r>
                              </w:p>
                            </w:txbxContent>
                          </wps:txbx>
                          <wps:bodyPr vert="horz" anchor="t" anchorCtr="0" upright="1"/>
                        </wps:wsp>
                      </wpg:grpSp>
                      <wpg:grpSp>
                        <wpg:cNvPr id="30" name="Group 76"/>
                        <wpg:cNvGrpSpPr/>
                        <wpg:grpSpPr>
                          <a:xfrm>
                            <a:off x="3404" y="9252"/>
                            <a:ext cx="2820" cy="1470"/>
                            <a:chOff x="3404" y="9252"/>
                            <a:chExt cx="2820" cy="1470"/>
                          </a:xfrm>
                          <a:effectLst/>
                        </wpg:grpSpPr>
                        <wps:wsp>
                          <wps:cNvPr id="28" name="Diamond 86"/>
                          <wps:cNvSpPr/>
                          <wps:spPr>
                            <a:xfrm>
                              <a:off x="3404" y="9252"/>
                              <a:ext cx="2820" cy="1470"/>
                            </a:xfrm>
                            <a:prstGeom prst="diamond">
                              <a:avLst/>
                            </a:prstGeom>
                            <a:solidFill>
                              <a:srgbClr val="FFFFFF"/>
                            </a:solidFill>
                            <a:ln w="9525" cap="flat" cmpd="sng">
                              <a:solidFill>
                                <a:srgbClr val="000000"/>
                              </a:solidFill>
                              <a:prstDash val="solid"/>
                              <a:miter/>
                              <a:headEnd type="none" w="med" len="med"/>
                              <a:tailEnd type="none" w="med" len="med"/>
                            </a:ln>
                            <a:effectLst/>
                          </wps:spPr>
                          <wps:bodyPr vert="horz" anchor="t" anchorCtr="0" upright="1"/>
                        </wps:wsp>
                        <wps:wsp>
                          <wps:cNvPr id="29" name="Quad Arrow 87"/>
                          <wps:cNvSpPr txBox="1"/>
                          <wps:spPr>
                            <a:xfrm>
                              <a:off x="3781" y="9600"/>
                              <a:ext cx="1995" cy="930"/>
                            </a:xfrm>
                            <a:prstGeom prst="rect">
                              <a:avLst/>
                            </a:prstGeom>
                            <a:noFill/>
                            <a:ln>
                              <a:noFill/>
                            </a:ln>
                            <a:effectLst/>
                          </wps:spPr>
                          <wps:txbx>
                            <w:txbxContent>
                              <w:p>
                                <w:pPr>
                                  <w:jc w:val="center"/>
                                  <w:rPr>
                                    <w:szCs w:val="21"/>
                                  </w:rPr>
                                </w:pPr>
                                <w:r>
                                  <w:rPr>
                                    <w:rFonts w:hint="eastAsia"/>
                                    <w:szCs w:val="21"/>
                                  </w:rPr>
                                  <w:t>资格认定审批</w:t>
                                </w:r>
                              </w:p>
                              <w:p>
                                <w:pPr>
                                  <w:jc w:val="center"/>
                                  <w:rPr>
                                    <w:szCs w:val="21"/>
                                  </w:rPr>
                                </w:pPr>
                                <w:r>
                                  <w:rPr>
                                    <w:rFonts w:hint="eastAsia"/>
                                    <w:szCs w:val="21"/>
                                  </w:rPr>
                                  <w:t>（</w:t>
                                </w:r>
                                <w:r>
                                  <w:rPr>
                                    <w:rFonts w:hint="eastAsia"/>
                                    <w:szCs w:val="21"/>
                                    <w:lang w:val="en-US" w:eastAsia="zh-CN"/>
                                  </w:rPr>
                                  <w:t>20</w:t>
                                </w:r>
                                <w:r>
                                  <w:rPr>
                                    <w:rFonts w:hint="eastAsia"/>
                                    <w:szCs w:val="21"/>
                                  </w:rPr>
                                  <w:t>个工作日）</w:t>
                                </w:r>
                              </w:p>
                            </w:txbxContent>
                          </wps:txbx>
                          <wps:bodyPr vert="horz" anchor="t" anchorCtr="0" upright="1"/>
                        </wps:wsp>
                      </wpg:grpSp>
                      <wps:wsp>
                        <wps:cNvPr id="31" name="Quad Arrow 89"/>
                        <wps:cNvSpPr txBox="1"/>
                        <wps:spPr>
                          <a:xfrm>
                            <a:off x="9294" y="7848"/>
                            <a:ext cx="1416" cy="1314"/>
                          </a:xfrm>
                          <a:prstGeom prst="rect">
                            <a:avLst/>
                          </a:prstGeom>
                          <a:noFill/>
                          <a:ln w="9525" cap="flat" cmpd="sng">
                            <a:solidFill>
                              <a:srgbClr val="000000"/>
                            </a:solidFill>
                            <a:prstDash val="solid"/>
                            <a:miter/>
                            <a:headEnd type="none" w="med" len="med"/>
                            <a:tailEnd type="none" w="med" len="med"/>
                          </a:ln>
                          <a:effectLst/>
                        </wps:spPr>
                        <wps:txbx>
                          <w:txbxContent>
                            <w:p>
                              <w:pPr>
                                <w:rPr>
                                  <w:sz w:val="18"/>
                                  <w:szCs w:val="18"/>
                                </w:rPr>
                              </w:pPr>
                              <w:r>
                                <w:rPr>
                                  <w:rFonts w:hint="eastAsia"/>
                                  <w:sz w:val="18"/>
                                  <w:szCs w:val="18"/>
                                </w:rPr>
                                <w:t>拒不补正，或逾期未补的，视为放弃行政许可申请</w:t>
                              </w:r>
                            </w:p>
                          </w:txbxContent>
                        </wps:txbx>
                        <wps:bodyPr vert="horz" anchor="t" anchorCtr="0" upright="1"/>
                      </wps:wsp>
                      <wpg:grpSp>
                        <wpg:cNvPr id="34" name="Group 79"/>
                        <wpg:cNvGrpSpPr/>
                        <wpg:grpSpPr>
                          <a:xfrm>
                            <a:off x="1644" y="10899"/>
                            <a:ext cx="2235" cy="909"/>
                            <a:chOff x="1644" y="10899"/>
                            <a:chExt cx="2235" cy="909"/>
                          </a:xfrm>
                          <a:effectLst/>
                        </wpg:grpSpPr>
                        <wps:wsp>
                          <wps:cNvPr id="32" name="Rectangle 92"/>
                          <wps:cNvSpPr/>
                          <wps:spPr>
                            <a:xfrm>
                              <a:off x="1644" y="10899"/>
                              <a:ext cx="2235" cy="849"/>
                            </a:xfrm>
                            <a:prstGeom prst="rect">
                              <a:avLst/>
                            </a:prstGeom>
                            <a:noFill/>
                            <a:ln w="9525" cap="flat" cmpd="sng">
                              <a:solidFill>
                                <a:srgbClr val="000000"/>
                              </a:solidFill>
                              <a:prstDash val="solid"/>
                              <a:miter/>
                              <a:headEnd type="none" w="med" len="med"/>
                              <a:tailEnd type="none" w="med" len="med"/>
                            </a:ln>
                            <a:effectLst/>
                          </wps:spPr>
                          <wps:bodyPr vert="horz" anchor="t" anchorCtr="0" upright="1"/>
                        </wps:wsp>
                        <wps:wsp>
                          <wps:cNvPr id="33" name="Quad Arrow 94"/>
                          <wps:cNvSpPr txBox="1"/>
                          <wps:spPr>
                            <a:xfrm>
                              <a:off x="1716" y="11076"/>
                              <a:ext cx="2115" cy="732"/>
                            </a:xfrm>
                            <a:prstGeom prst="rect">
                              <a:avLst/>
                            </a:prstGeom>
                            <a:noFill/>
                            <a:ln>
                              <a:noFill/>
                            </a:ln>
                            <a:effectLst/>
                          </wps:spPr>
                          <wps:txbx>
                            <w:txbxContent>
                              <w:p>
                                <w:pPr>
                                  <w:jc w:val="center"/>
                                  <w:rPr>
                                    <w:sz w:val="18"/>
                                    <w:szCs w:val="18"/>
                                  </w:rPr>
                                </w:pPr>
                                <w:r>
                                  <w:rPr>
                                    <w:rFonts w:hint="eastAsia"/>
                                    <w:sz w:val="18"/>
                                    <w:szCs w:val="18"/>
                                  </w:rPr>
                                  <w:t>颁发准予行政许可决定书</w:t>
                                </w:r>
                              </w:p>
                            </w:txbxContent>
                          </wps:txbx>
                          <wps:bodyPr vert="horz" anchor="t" anchorCtr="0" upright="1"/>
                        </wps:wsp>
                      </wpg:grpSp>
                      <wps:wsp>
                        <wps:cNvPr id="35" name="Quad Arrow 96"/>
                        <wps:cNvSpPr txBox="1"/>
                        <wps:spPr>
                          <a:xfrm>
                            <a:off x="2219" y="10277"/>
                            <a:ext cx="1239" cy="445"/>
                          </a:xfrm>
                          <a:prstGeom prst="rect">
                            <a:avLst/>
                          </a:prstGeom>
                          <a:noFill/>
                          <a:ln>
                            <a:noFill/>
                          </a:ln>
                          <a:effectLst/>
                        </wps:spPr>
                        <wps:txbx>
                          <w:txbxContent>
                            <w:p>
                              <w:pPr>
                                <w:rPr>
                                  <w:sz w:val="18"/>
                                  <w:szCs w:val="18"/>
                                </w:rPr>
                              </w:pPr>
                              <w:r>
                                <w:rPr>
                                  <w:rFonts w:hint="eastAsia"/>
                                  <w:sz w:val="18"/>
                                  <w:szCs w:val="18"/>
                                </w:rPr>
                                <w:t>认定通过</w:t>
                              </w:r>
                            </w:p>
                          </w:txbxContent>
                        </wps:txbx>
                        <wps:bodyPr vert="horz" anchor="t" anchorCtr="0" upright="1"/>
                      </wps:wsp>
                      <wps:wsp>
                        <wps:cNvPr id="36" name="Quad Arrow 97"/>
                        <wps:cNvSpPr txBox="1"/>
                        <wps:spPr>
                          <a:xfrm>
                            <a:off x="5940" y="10277"/>
                            <a:ext cx="1239" cy="445"/>
                          </a:xfrm>
                          <a:prstGeom prst="rect">
                            <a:avLst/>
                          </a:prstGeom>
                          <a:noFill/>
                          <a:ln>
                            <a:noFill/>
                          </a:ln>
                          <a:effectLst/>
                        </wps:spPr>
                        <wps:txbx>
                          <w:txbxContent>
                            <w:p>
                              <w:pPr>
                                <w:rPr>
                                  <w:sz w:val="18"/>
                                  <w:szCs w:val="18"/>
                                </w:rPr>
                              </w:pPr>
                              <w:r>
                                <w:rPr>
                                  <w:rFonts w:hint="eastAsia"/>
                                  <w:sz w:val="18"/>
                                  <w:szCs w:val="18"/>
                                </w:rPr>
                                <w:t>认定未通过</w:t>
                              </w:r>
                            </w:p>
                          </w:txbxContent>
                        </wps:txbx>
                        <wps:bodyPr vert="horz" anchor="t" anchorCtr="0" upright="1"/>
                      </wps:wsp>
                      <wps:wsp>
                        <wps:cNvPr id="37" name="Straight Connector 101"/>
                        <wps:cNvCnPr/>
                        <wps:spPr>
                          <a:xfrm>
                            <a:off x="6063" y="3444"/>
                            <a:ext cx="1" cy="323"/>
                          </a:xfrm>
                          <a:prstGeom prst="straightConnector1">
                            <a:avLst/>
                          </a:prstGeom>
                          <a:ln w="9525" cap="flat" cmpd="sng">
                            <a:solidFill>
                              <a:srgbClr val="000000"/>
                            </a:solidFill>
                            <a:prstDash val="solid"/>
                            <a:headEnd type="none" w="med" len="med"/>
                            <a:tailEnd type="triangle" w="med" len="med"/>
                          </a:ln>
                          <a:effectLst/>
                        </wps:spPr>
                        <wps:bodyPr/>
                      </wps:wsp>
                      <wps:wsp>
                        <wps:cNvPr id="38" name="Straight Connector 103"/>
                        <wps:cNvCnPr/>
                        <wps:spPr>
                          <a:xfrm>
                            <a:off x="4800" y="8727"/>
                            <a:ext cx="1" cy="525"/>
                          </a:xfrm>
                          <a:prstGeom prst="straightConnector1">
                            <a:avLst/>
                          </a:prstGeom>
                          <a:ln w="9525" cap="flat" cmpd="sng">
                            <a:solidFill>
                              <a:srgbClr val="000000"/>
                            </a:solidFill>
                            <a:prstDash val="solid"/>
                            <a:headEnd type="none" w="med" len="med"/>
                            <a:tailEnd type="triangle" w="med" len="med"/>
                          </a:ln>
                          <a:effectLst/>
                        </wps:spPr>
                        <wps:bodyPr/>
                      </wps:wsp>
                      <wpg:grpSp>
                        <wpg:cNvPr id="41" name="Group 78"/>
                        <wpg:cNvGrpSpPr/>
                        <wpg:grpSpPr>
                          <a:xfrm>
                            <a:off x="2894" y="9984"/>
                            <a:ext cx="481" cy="915"/>
                            <a:chOff x="2203" y="10960"/>
                            <a:chExt cx="481" cy="915"/>
                          </a:xfrm>
                          <a:effectLst/>
                        </wpg:grpSpPr>
                        <wps:wsp>
                          <wps:cNvPr id="39" name="Straight Connector 91"/>
                          <wps:cNvCnPr/>
                          <wps:spPr>
                            <a:xfrm>
                              <a:off x="2218" y="10960"/>
                              <a:ext cx="466" cy="1"/>
                            </a:xfrm>
                            <a:prstGeom prst="straightConnector1">
                              <a:avLst/>
                            </a:prstGeom>
                            <a:ln w="9525" cap="flat" cmpd="sng">
                              <a:solidFill>
                                <a:srgbClr val="000000"/>
                              </a:solidFill>
                              <a:prstDash val="solid"/>
                              <a:headEnd type="none" w="med" len="med"/>
                              <a:tailEnd type="none" w="med" len="med"/>
                            </a:ln>
                            <a:effectLst/>
                          </wps:spPr>
                          <wps:bodyPr/>
                        </wps:wsp>
                        <wps:wsp>
                          <wps:cNvPr id="40" name="Straight Connector 104"/>
                          <wps:cNvCnPr/>
                          <wps:spPr>
                            <a:xfrm>
                              <a:off x="2203" y="10960"/>
                              <a:ext cx="1" cy="915"/>
                            </a:xfrm>
                            <a:prstGeom prst="straightConnector1">
                              <a:avLst/>
                            </a:prstGeom>
                            <a:ln w="9525" cap="flat" cmpd="sng">
                              <a:solidFill>
                                <a:srgbClr val="000000"/>
                              </a:solidFill>
                              <a:prstDash val="solid"/>
                              <a:headEnd type="none" w="med" len="med"/>
                              <a:tailEnd type="triangle" w="med" len="med"/>
                            </a:ln>
                            <a:effectLst/>
                          </wps:spPr>
                          <wps:bodyPr/>
                        </wps:wsp>
                      </wpg:grpSp>
                      <wpg:grpSp>
                        <wpg:cNvPr id="44" name="Group 77"/>
                        <wpg:cNvGrpSpPr/>
                        <wpg:grpSpPr>
                          <a:xfrm>
                            <a:off x="6224" y="9983"/>
                            <a:ext cx="467" cy="916"/>
                            <a:chOff x="6224" y="9983"/>
                            <a:chExt cx="467" cy="916"/>
                          </a:xfrm>
                          <a:effectLst/>
                        </wpg:grpSpPr>
                        <wps:wsp>
                          <wps:cNvPr id="42" name="Straight Connector 90"/>
                          <wps:cNvCnPr/>
                          <wps:spPr>
                            <a:xfrm>
                              <a:off x="6224" y="9983"/>
                              <a:ext cx="466" cy="1"/>
                            </a:xfrm>
                            <a:prstGeom prst="straightConnector1">
                              <a:avLst/>
                            </a:prstGeom>
                            <a:ln w="9525" cap="flat" cmpd="sng">
                              <a:solidFill>
                                <a:srgbClr val="000000"/>
                              </a:solidFill>
                              <a:prstDash val="solid"/>
                              <a:headEnd type="none" w="med" len="med"/>
                              <a:tailEnd type="none" w="med" len="med"/>
                            </a:ln>
                            <a:effectLst/>
                          </wps:spPr>
                          <wps:bodyPr/>
                        </wps:wsp>
                        <wps:wsp>
                          <wps:cNvPr id="43" name="Straight Connector 105"/>
                          <wps:cNvCnPr/>
                          <wps:spPr>
                            <a:xfrm>
                              <a:off x="6690" y="9984"/>
                              <a:ext cx="1" cy="915"/>
                            </a:xfrm>
                            <a:prstGeom prst="straightConnector1">
                              <a:avLst/>
                            </a:prstGeom>
                            <a:ln w="9525" cap="flat" cmpd="sng">
                              <a:solidFill>
                                <a:srgbClr val="000000"/>
                              </a:solidFill>
                              <a:prstDash val="solid"/>
                              <a:headEnd type="none" w="med" len="med"/>
                              <a:tailEnd type="triangle" w="med" len="med"/>
                            </a:ln>
                            <a:effectLst/>
                          </wps:spPr>
                          <wps:bodyPr/>
                        </wps:wsp>
                      </wpg:grpSp>
                      <wpg:grpSp>
                        <wpg:cNvPr id="47" name="Group 82"/>
                        <wpg:cNvGrpSpPr/>
                        <wpg:grpSpPr>
                          <a:xfrm>
                            <a:off x="3135" y="12912"/>
                            <a:ext cx="2550" cy="941"/>
                            <a:chOff x="3255" y="12439"/>
                            <a:chExt cx="2550" cy="941"/>
                          </a:xfrm>
                          <a:effectLst/>
                        </wpg:grpSpPr>
                        <wps:wsp>
                          <wps:cNvPr id="45" name="Rectangle 107"/>
                          <wps:cNvSpPr/>
                          <wps:spPr>
                            <a:xfrm>
                              <a:off x="3255" y="12439"/>
                              <a:ext cx="2550" cy="941"/>
                            </a:xfrm>
                            <a:prstGeom prst="rect">
                              <a:avLst/>
                            </a:prstGeom>
                            <a:noFill/>
                            <a:ln w="9525" cap="flat" cmpd="sng">
                              <a:solidFill>
                                <a:srgbClr val="000000"/>
                              </a:solidFill>
                              <a:prstDash val="solid"/>
                              <a:miter/>
                              <a:headEnd type="none" w="med" len="med"/>
                              <a:tailEnd type="none" w="med" len="med"/>
                            </a:ln>
                            <a:effectLst/>
                          </wps:spPr>
                          <wps:bodyPr vert="horz" anchor="t" anchorCtr="0" upright="1"/>
                        </wps:wsp>
                        <wps:wsp>
                          <wps:cNvPr id="46" name="Quad Arrow 108"/>
                          <wps:cNvSpPr txBox="1"/>
                          <wps:spPr>
                            <a:xfrm>
                              <a:off x="3375" y="12540"/>
                              <a:ext cx="2310" cy="768"/>
                            </a:xfrm>
                            <a:prstGeom prst="rect">
                              <a:avLst/>
                            </a:prstGeom>
                            <a:noFill/>
                            <a:ln>
                              <a:noFill/>
                            </a:ln>
                            <a:effectLst/>
                          </wps:spPr>
                          <wps:txbx>
                            <w:txbxContent>
                              <w:p>
                                <w:pPr>
                                  <w:jc w:val="center"/>
                                  <w:rPr>
                                    <w:szCs w:val="21"/>
                                  </w:rPr>
                                </w:pPr>
                                <w:r>
                                  <w:rPr>
                                    <w:rFonts w:hint="eastAsia"/>
                                    <w:szCs w:val="21"/>
                                  </w:rPr>
                                  <w:t>通知申请人领取或邮寄审批结果</w:t>
                                </w:r>
                              </w:p>
                            </w:txbxContent>
                          </wps:txbx>
                          <wps:bodyPr vert="horz" anchor="t" anchorCtr="0" upright="1"/>
                        </wps:wsp>
                      </wpg:grpSp>
                      <wps:wsp>
                        <wps:cNvPr id="48" name="Straight Connector 110"/>
                        <wps:cNvCnPr/>
                        <wps:spPr>
                          <a:xfrm>
                            <a:off x="4574" y="12440"/>
                            <a:ext cx="2172" cy="1"/>
                          </a:xfrm>
                          <a:prstGeom prst="straightConnector1">
                            <a:avLst/>
                          </a:prstGeom>
                          <a:ln w="9525" cap="flat" cmpd="sng">
                            <a:solidFill>
                              <a:srgbClr val="000000"/>
                            </a:solidFill>
                            <a:prstDash val="solid"/>
                            <a:headEnd type="none" w="med" len="med"/>
                            <a:tailEnd type="triangle" w="med" len="med"/>
                          </a:ln>
                          <a:effectLst/>
                        </wps:spPr>
                        <wps:bodyPr/>
                      </wps:wsp>
                      <wpg:grpSp>
                        <wpg:cNvPr id="51" name="Group 84"/>
                        <wpg:cNvGrpSpPr/>
                        <wpg:grpSpPr>
                          <a:xfrm>
                            <a:off x="6746" y="12012"/>
                            <a:ext cx="2430" cy="1203"/>
                            <a:chOff x="7995" y="12348"/>
                            <a:chExt cx="2430" cy="1203"/>
                          </a:xfrm>
                          <a:effectLst/>
                        </wpg:grpSpPr>
                        <wps:wsp>
                          <wps:cNvPr id="49" name="Rounded Rectangle 111"/>
                          <wps:cNvSpPr/>
                          <wps:spPr>
                            <a:xfrm>
                              <a:off x="7995" y="12348"/>
                              <a:ext cx="2430" cy="118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bodyPr vert="horz" anchor="t" anchorCtr="0" upright="1"/>
                        </wps:wsp>
                        <wps:wsp>
                          <wps:cNvPr id="50" name="Quad Arrow 112"/>
                          <wps:cNvSpPr txBox="1"/>
                          <wps:spPr>
                            <a:xfrm>
                              <a:off x="8145" y="12439"/>
                              <a:ext cx="2130" cy="1112"/>
                            </a:xfrm>
                            <a:prstGeom prst="rect">
                              <a:avLst/>
                            </a:prstGeom>
                            <a:noFill/>
                            <a:ln>
                              <a:noFill/>
                            </a:ln>
                            <a:effectLst/>
                          </wps:spPr>
                          <wps:txbx>
                            <w:txbxContent>
                              <w:p>
                                <w:pPr>
                                  <w:rPr>
                                    <w:sz w:val="18"/>
                                    <w:szCs w:val="18"/>
                                  </w:rPr>
                                </w:pPr>
                                <w:r>
                                  <w:rPr>
                                    <w:rFonts w:hint="eastAsia"/>
                                    <w:sz w:val="18"/>
                                    <w:szCs w:val="18"/>
                                  </w:rPr>
                                  <w:t>通过人民银行内蒙古自治区分行网站或各分行办公场所公开审批结果</w:t>
                                </w:r>
                              </w:p>
                            </w:txbxContent>
                          </wps:txbx>
                          <wps:bodyPr vert="horz" anchor="t" anchorCtr="0" upright="1"/>
                        </wps:wsp>
                      </wpg:grpSp>
                      <wps:wsp>
                        <wps:cNvPr id="52" name="Straight Connector 113"/>
                        <wps:cNvCnPr/>
                        <wps:spPr>
                          <a:xfrm>
                            <a:off x="4511" y="13853"/>
                            <a:ext cx="1" cy="487"/>
                          </a:xfrm>
                          <a:prstGeom prst="straightConnector1">
                            <a:avLst/>
                          </a:prstGeom>
                          <a:ln w="9525" cap="flat" cmpd="sng">
                            <a:solidFill>
                              <a:srgbClr val="000000"/>
                            </a:solidFill>
                            <a:prstDash val="solid"/>
                            <a:headEnd type="none" w="med" len="med"/>
                            <a:tailEnd type="triangle" w="med" len="med"/>
                          </a:ln>
                          <a:effectLst/>
                        </wps:spPr>
                        <wps:bodyPr/>
                      </wps:wsp>
                      <wpg:grpSp>
                        <wpg:cNvPr id="55" name="Group 83"/>
                        <wpg:cNvGrpSpPr/>
                        <wpg:grpSpPr>
                          <a:xfrm>
                            <a:off x="3255" y="14340"/>
                            <a:ext cx="2430" cy="930"/>
                            <a:chOff x="3255" y="13740"/>
                            <a:chExt cx="2430" cy="930"/>
                          </a:xfrm>
                          <a:effectLst/>
                        </wpg:grpSpPr>
                        <wps:wsp>
                          <wps:cNvPr id="53" name="Rounded Rectangle 114"/>
                          <wps:cNvSpPr/>
                          <wps:spPr>
                            <a:xfrm>
                              <a:off x="3255" y="13740"/>
                              <a:ext cx="2430" cy="93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bodyPr vert="horz" anchor="t" anchorCtr="0" upright="1"/>
                        </wps:wsp>
                        <wps:wsp>
                          <wps:cNvPr id="54" name="Quad Arrow 115"/>
                          <wps:cNvSpPr txBox="1"/>
                          <wps:spPr>
                            <a:xfrm>
                              <a:off x="3458" y="13824"/>
                              <a:ext cx="2115" cy="768"/>
                            </a:xfrm>
                            <a:prstGeom prst="rect">
                              <a:avLst/>
                            </a:prstGeom>
                            <a:noFill/>
                            <a:ln>
                              <a:noFill/>
                            </a:ln>
                            <a:effectLst/>
                          </wps:spPr>
                          <wps:txbx>
                            <w:txbxContent>
                              <w:p>
                                <w:pPr>
                                  <w:rPr>
                                    <w:szCs w:val="21"/>
                                  </w:rPr>
                                </w:pPr>
                                <w:r>
                                  <w:rPr>
                                    <w:rFonts w:hint="eastAsia"/>
                                    <w:szCs w:val="21"/>
                                  </w:rPr>
                                  <w:t>申请人取得审批结果，办结。</w:t>
                                </w:r>
                              </w:p>
                            </w:txbxContent>
                          </wps:txbx>
                          <wps:bodyPr vert="horz" anchor="t" anchorCtr="0" upright="1"/>
                        </wps:wsp>
                      </wpg:grpSp>
                      <wps:wsp>
                        <wps:cNvPr id="56" name="Quad Arrow 119"/>
                        <wps:cNvSpPr txBox="1"/>
                        <wps:spPr>
                          <a:xfrm>
                            <a:off x="7350" y="7848"/>
                            <a:ext cx="1302" cy="131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18"/>
                                  <w:szCs w:val="18"/>
                                </w:rPr>
                              </w:pPr>
                              <w:r>
                                <w:rPr>
                                  <w:rFonts w:hint="eastAsia"/>
                                  <w:sz w:val="18"/>
                                  <w:szCs w:val="18"/>
                                </w:rPr>
                                <w:t>补正材料齐全，符合法定形式</w:t>
                              </w:r>
                            </w:p>
                          </w:txbxContent>
                        </wps:txbx>
                        <wps:bodyPr vert="horz" anchor="t" anchorCtr="0" upright="1"/>
                      </wps:wsp>
                      <wpg:grpSp>
                        <wpg:cNvPr id="61" name="Group 63"/>
                        <wpg:cNvGrpSpPr/>
                        <wpg:grpSpPr>
                          <a:xfrm>
                            <a:off x="3255" y="4655"/>
                            <a:ext cx="5793" cy="689"/>
                            <a:chOff x="3255" y="4655"/>
                            <a:chExt cx="5793" cy="689"/>
                          </a:xfrm>
                          <a:effectLst/>
                        </wpg:grpSpPr>
                        <wps:wsp>
                          <wps:cNvPr id="57" name="Straight Connector 56"/>
                          <wps:cNvCnPr/>
                          <wps:spPr>
                            <a:xfrm>
                              <a:off x="6061" y="4655"/>
                              <a:ext cx="1" cy="278"/>
                            </a:xfrm>
                            <a:prstGeom prst="straightConnector1">
                              <a:avLst/>
                            </a:prstGeom>
                            <a:ln w="9525" cap="flat" cmpd="sng">
                              <a:solidFill>
                                <a:srgbClr val="000000"/>
                              </a:solidFill>
                              <a:prstDash val="solid"/>
                              <a:headEnd type="none" w="med" len="med"/>
                              <a:tailEnd type="none" w="med" len="med"/>
                            </a:ln>
                            <a:effectLst/>
                          </wps:spPr>
                          <wps:bodyPr/>
                        </wps:wsp>
                        <wps:wsp>
                          <wps:cNvPr id="58" name="Straight Connector 57"/>
                          <wps:cNvCnPr/>
                          <wps:spPr>
                            <a:xfrm flipV="1">
                              <a:off x="3255" y="4921"/>
                              <a:ext cx="5793" cy="12"/>
                            </a:xfrm>
                            <a:prstGeom prst="straightConnector1">
                              <a:avLst/>
                            </a:prstGeom>
                            <a:ln w="9525" cap="flat" cmpd="sng">
                              <a:solidFill>
                                <a:srgbClr val="000000"/>
                              </a:solidFill>
                              <a:prstDash val="solid"/>
                              <a:headEnd type="none" w="med" len="med"/>
                              <a:tailEnd type="none" w="med" len="med"/>
                            </a:ln>
                            <a:effectLst/>
                          </wps:spPr>
                          <wps:bodyPr/>
                        </wps:wsp>
                        <wps:wsp>
                          <wps:cNvPr id="59" name="Straight Connector 58"/>
                          <wps:cNvCnPr/>
                          <wps:spPr>
                            <a:xfrm>
                              <a:off x="3255" y="4933"/>
                              <a:ext cx="0" cy="402"/>
                            </a:xfrm>
                            <a:prstGeom prst="straightConnector1">
                              <a:avLst/>
                            </a:prstGeom>
                            <a:ln w="9525" cap="flat" cmpd="sng">
                              <a:solidFill>
                                <a:srgbClr val="000000"/>
                              </a:solidFill>
                              <a:prstDash val="solid"/>
                              <a:headEnd type="none" w="med" len="med"/>
                              <a:tailEnd type="triangle" w="med" len="med"/>
                            </a:ln>
                            <a:effectLst/>
                          </wps:spPr>
                          <wps:bodyPr/>
                        </wps:wsp>
                        <wps:wsp>
                          <wps:cNvPr id="60" name="Straight Connector 60"/>
                          <wps:cNvCnPr/>
                          <wps:spPr>
                            <a:xfrm>
                              <a:off x="9048" y="4942"/>
                              <a:ext cx="0" cy="402"/>
                            </a:xfrm>
                            <a:prstGeom prst="straightConnector1">
                              <a:avLst/>
                            </a:prstGeom>
                            <a:ln w="9525" cap="flat" cmpd="sng">
                              <a:solidFill>
                                <a:srgbClr val="000000"/>
                              </a:solidFill>
                              <a:prstDash val="solid"/>
                              <a:headEnd type="none" w="med" len="med"/>
                              <a:tailEnd type="triangle" w="med" len="med"/>
                            </a:ln>
                            <a:effectLst/>
                          </wps:spPr>
                          <wps:bodyPr/>
                        </wps:wsp>
                      </wpg:grpSp>
                      <wps:wsp>
                        <wps:cNvPr id="62" name="Straight Connector 67"/>
                        <wps:cNvCnPr/>
                        <wps:spPr>
                          <a:xfrm>
                            <a:off x="9048" y="6156"/>
                            <a:ext cx="0" cy="396"/>
                          </a:xfrm>
                          <a:prstGeom prst="straightConnector1">
                            <a:avLst/>
                          </a:prstGeom>
                          <a:ln w="9525" cap="flat" cmpd="sng">
                            <a:solidFill>
                              <a:srgbClr val="000000"/>
                            </a:solidFill>
                            <a:prstDash val="solid"/>
                            <a:headEnd type="none" w="med" len="med"/>
                            <a:tailEnd type="triangle" w="med" len="med"/>
                          </a:ln>
                          <a:effectLst/>
                        </wps:spPr>
                        <wps:bodyPr/>
                      </wps:wsp>
                      <wps:wsp>
                        <wps:cNvPr id="63" name="Straight Connector 68"/>
                        <wps:cNvCnPr/>
                        <wps:spPr>
                          <a:xfrm>
                            <a:off x="3255" y="6240"/>
                            <a:ext cx="0" cy="1776"/>
                          </a:xfrm>
                          <a:prstGeom prst="straightConnector1">
                            <a:avLst/>
                          </a:prstGeom>
                          <a:ln w="9525" cap="flat" cmpd="sng">
                            <a:solidFill>
                              <a:srgbClr val="000000"/>
                            </a:solidFill>
                            <a:prstDash val="solid"/>
                            <a:headEnd type="none" w="med" len="med"/>
                            <a:tailEnd type="none" w="med" len="med"/>
                          </a:ln>
                          <a:effectLst/>
                        </wps:spPr>
                        <wps:bodyPr/>
                      </wps:wsp>
                      <wps:wsp>
                        <wps:cNvPr id="64" name="Straight Connector 72"/>
                        <wps:cNvCnPr/>
                        <wps:spPr>
                          <a:xfrm flipH="1">
                            <a:off x="6381" y="8352"/>
                            <a:ext cx="966" cy="0"/>
                          </a:xfrm>
                          <a:prstGeom prst="straightConnector1">
                            <a:avLst/>
                          </a:prstGeom>
                          <a:ln w="9525" cap="flat" cmpd="sng">
                            <a:solidFill>
                              <a:srgbClr val="000000"/>
                            </a:solidFill>
                            <a:prstDash val="solid"/>
                            <a:headEnd type="none" w="med" len="med"/>
                            <a:tailEnd type="triangle" w="med" len="med"/>
                          </a:ln>
                          <a:effectLst/>
                        </wps:spPr>
                        <wps:bodyPr/>
                      </wps:wsp>
                      <wps:wsp>
                        <wps:cNvPr id="65" name="Straight Connector 74"/>
                        <wps:cNvCnPr/>
                        <wps:spPr>
                          <a:xfrm>
                            <a:off x="9795" y="7437"/>
                            <a:ext cx="0" cy="411"/>
                          </a:xfrm>
                          <a:prstGeom prst="straightConnector1">
                            <a:avLst/>
                          </a:prstGeom>
                          <a:ln w="9525" cap="flat" cmpd="sng">
                            <a:solidFill>
                              <a:srgbClr val="000000"/>
                            </a:solidFill>
                            <a:prstDash val="solid"/>
                            <a:headEnd type="none" w="med" len="med"/>
                            <a:tailEnd type="triangle" w="med" len="med"/>
                          </a:ln>
                          <a:effectLst/>
                        </wps:spPr>
                        <wps:bodyPr/>
                      </wps:wsp>
                      <wps:wsp>
                        <wps:cNvPr id="66" name="Straight Connector 75"/>
                        <wps:cNvCnPr/>
                        <wps:spPr>
                          <a:xfrm>
                            <a:off x="8146" y="7437"/>
                            <a:ext cx="0" cy="411"/>
                          </a:xfrm>
                          <a:prstGeom prst="straightConnector1">
                            <a:avLst/>
                          </a:prstGeom>
                          <a:ln w="9525" cap="flat" cmpd="sng">
                            <a:solidFill>
                              <a:srgbClr val="000000"/>
                            </a:solidFill>
                            <a:prstDash val="solid"/>
                            <a:headEnd type="none" w="med" len="med"/>
                            <a:tailEnd type="triangle" w="med" len="med"/>
                          </a:ln>
                          <a:effectLst/>
                        </wps:spPr>
                        <wps:bodyPr/>
                      </wps:wsp>
                      <wpg:grpSp>
                        <wpg:cNvPr id="71" name="Group 94"/>
                        <wpg:cNvGrpSpPr/>
                        <wpg:grpSpPr>
                          <a:xfrm>
                            <a:off x="2523" y="11749"/>
                            <a:ext cx="4057" cy="1163"/>
                            <a:chOff x="2523" y="11749"/>
                            <a:chExt cx="4057" cy="1163"/>
                          </a:xfrm>
                          <a:effectLst/>
                        </wpg:grpSpPr>
                        <wps:wsp>
                          <wps:cNvPr id="67" name="Straight Connector 98"/>
                          <wps:cNvCnPr/>
                          <wps:spPr>
                            <a:xfrm>
                              <a:off x="2523" y="11749"/>
                              <a:ext cx="1" cy="330"/>
                            </a:xfrm>
                            <a:prstGeom prst="straightConnector1">
                              <a:avLst/>
                            </a:prstGeom>
                            <a:ln w="9525" cap="flat" cmpd="sng">
                              <a:solidFill>
                                <a:srgbClr val="000000"/>
                              </a:solidFill>
                              <a:prstDash val="solid"/>
                              <a:headEnd type="none" w="med" len="med"/>
                              <a:tailEnd type="none" w="med" len="med"/>
                            </a:ln>
                            <a:effectLst/>
                          </wps:spPr>
                          <wps:bodyPr/>
                        </wps:wsp>
                        <wps:wsp>
                          <wps:cNvPr id="68" name="Straight Connector 99"/>
                          <wps:cNvCnPr/>
                          <wps:spPr>
                            <a:xfrm>
                              <a:off x="6579" y="11749"/>
                              <a:ext cx="1" cy="330"/>
                            </a:xfrm>
                            <a:prstGeom prst="straightConnector1">
                              <a:avLst/>
                            </a:prstGeom>
                            <a:ln w="9525" cap="flat" cmpd="sng">
                              <a:solidFill>
                                <a:srgbClr val="000000"/>
                              </a:solidFill>
                              <a:prstDash val="solid"/>
                              <a:headEnd type="none" w="med" len="med"/>
                              <a:tailEnd type="none" w="med" len="med"/>
                            </a:ln>
                            <a:effectLst/>
                          </wps:spPr>
                          <wps:bodyPr/>
                        </wps:wsp>
                        <wps:wsp>
                          <wps:cNvPr id="69" name="Straight Connector 100"/>
                          <wps:cNvCnPr/>
                          <wps:spPr>
                            <a:xfrm>
                              <a:off x="2525" y="12079"/>
                              <a:ext cx="4055" cy="1"/>
                            </a:xfrm>
                            <a:prstGeom prst="straightConnector1">
                              <a:avLst/>
                            </a:prstGeom>
                            <a:ln w="9525" cap="flat" cmpd="sng">
                              <a:solidFill>
                                <a:srgbClr val="000000"/>
                              </a:solidFill>
                              <a:prstDash val="solid"/>
                              <a:headEnd type="none" w="med" len="med"/>
                              <a:tailEnd type="none" w="med" len="med"/>
                            </a:ln>
                            <a:effectLst/>
                          </wps:spPr>
                          <wps:bodyPr/>
                        </wps:wsp>
                        <wps:wsp>
                          <wps:cNvPr id="70" name="Straight Connector 106"/>
                          <wps:cNvCnPr/>
                          <wps:spPr>
                            <a:xfrm>
                              <a:off x="4573" y="12080"/>
                              <a:ext cx="1" cy="832"/>
                            </a:xfrm>
                            <a:prstGeom prst="straightConnector1">
                              <a:avLst/>
                            </a:prstGeom>
                            <a:ln w="9525" cap="flat" cmpd="sng">
                              <a:solidFill>
                                <a:srgbClr val="000000"/>
                              </a:solidFill>
                              <a:prstDash val="solid"/>
                              <a:headEnd type="none" w="med" len="med"/>
                              <a:tailEnd type="triangle" w="med" len="med"/>
                            </a:ln>
                            <a:effectLst/>
                          </wps:spPr>
                          <wps:bodyPr/>
                        </wps:wsp>
                      </wpg:grpSp>
                    </wpg:wgp>
                  </a:graphicData>
                </a:graphic>
              </wp:anchor>
            </w:drawing>
          </mc:Choice>
          <mc:Fallback>
            <w:pict>
              <v:group id="Group 95" o:spid="_x0000_s1026" o:spt="203" style="position:absolute;left:0pt;margin-left:-7.8pt;margin-top:12pt;height:623.5pt;width:468.85pt;z-index:251667456;mso-width-relative:page;mso-height-relative:page;" coordorigin="1644,2800" coordsize="9066,12470" o:gfxdata="UEsDBAoAAAAAAIdO4kAAAAAAAAAAAAAAAAAEAAAAZHJzL1BLAwQUAAAACACHTuJAHIVqLtsAAAAL&#10;AQAADwAAAGRycy9kb3ducmV2LnhtbE2Py07DMBBF90j8gzVI7Fo/oKWEOBWqgFVViRapYufG0yRq&#10;bEexm7R/z7CC5WiO7j03X15cywbsYxO8BjkVwNCXwTa+0vC1e58sgMVkvDVt8KjhihGWxe1NbjIb&#10;Rv+JwzZVjEJ8zIyGOqUu4zyWNToTp6FDT79j6J1JdPYVt70ZKdy1XAkx5840nhpq0+GqxvK0PTsN&#10;H6MZXx/k27A+HVfX791ss19L1Pr+TooXYAkv6Q+GX31Sh4KcDuHsbWSthomczQnVoB5pEwHPSklg&#10;ByLVkxTAi5z/31D8AFBLAwQUAAAACACHTuJALfZrm1gMAAAHeAAADgAAAGRycy9lMm9Eb2MueG1s&#10;7V3Lktu6Ed2nKv/A4j4egm+qPL5141cWqeTmOsmelqhHSiIVkmON8/VpvEEQlMixRUkjejGeEQWK&#10;ABqnT59uQG9/ed5trW9ZWW2K/NFGbxzbyvJ5sdjkq0f7X//89KfYtqo6zRfptsizR/t7Vtm/vPvj&#10;H94e9rPMLdbFdpGVFtwkr2aH/aO9ruv97OGhmq+zXVq9KfZZDheXRblLa/izXD0syvQAd99tH1zH&#10;CR8ORbnYl8U8qyp49QO9aL8j918us3n99+Wyympr+2jDs9XkZ0l+fsU/H969TWerMt2vN3P2GOkL&#10;nmKXbnL4UHGrD2mdWk/lpnWr3WZeFlWxrN/Mi91DsVxu5hnpA/QGOVpvPpfF0570ZTU7rPZimGBo&#10;tXF68W3nf/v2W2ltFo925NpWnu5gjsjHWkmAB+ewX83gPZ/L/Zf9byV7YUX/wv19XpY7/D/0xHom&#10;w/pdDGv2XFtzeDFIAt+D21lzuBYlKPYDNvDzNcwObodC37ctuOzGjrj2kbVPnDCkjZHrR+Tyg/zk&#10;jMzyX6saHu4BP654OvHHeQcOaQMHDzt84KLIhQGCAQiDwKVWyYfPDWC4yNjFMZmTdCbGLUo81iz2&#10;W+PWathz1GAlVtLYqh8zti/rdJ8RG66wITFjQ9Ajamz/eEoX1q9lWRysmPTgsCdvxOZm1c9/LrB1&#10;0AGtZhW8aLC62PEQHbwkiLTB8/BHEcMLY3xJGYN9WdWfs2Jn4V8e7RLAgqzh9BuzpnTG34I/NC8+&#10;bbZbuEU62+aNF+Ce9BXNFvkD4y7Vz1+fiVlUs6/F4jt0DlATPnVdlP+zrTSfwy+Pds1/fV9TkHra&#10;l5vVGt5HxgDsm0wOXpdjzBKMKp2l32Fs0ny1zawo4ZMBsykwgfdULksGCAYD7bTrnzQ11uHRTgK8&#10;nOYpeJTlNoVRne/2gHFVviIzXBXbzQLPJp7Gqlx9fb+F+UixjyD/mKE03oZN4UNaren7yCVqartN&#10;nZXELNZZuviYL6z6+x5gNAeHZ+OH2WUL29pm4B/xb+SddbrZ9nlnH8v6GeYkgZNCPsHQM8MmTJDq&#10;b0K2ygf5Gx+7i6bfMJgX9RkKbBqazdfc3SiwOcjZjLEgPT5mvxdP+SJbWMrC1NGToU0HZhqGoD1y&#10;2CvDbY4sTPwY+BkkcOIltVqwqU0X/7Gt5W4LnAqWl4XCMCQADXckKEvurYJsY8k1VuYn8o89TuNt&#10;23zsJX+7C30cvwFcruXdI+HFmePo6939OKbe3cVkh8CnsFTp3emlI5baMFJq1KrhXZV3vwQcQ6DW&#10;gGPCQgfSfz8K4DbAYr2IrvN0JqZKYbGEiKlw3G5mhONYZ3Aa32pw/zHgGMKStp2zgRvMYgUie3HC&#10;uLwcPAfGlbJYsgReiZ2Pg0YRnyXFWXoYSPDH92KxQ+z6J03N2C5tYrEDxBgZyLoiRKKqSUgI00DY&#10;RBECJAHYDDzdw3koxIEMXEscPfhHMb7WaKbAZuyywJc1VOzy0rCZ8AX5YZPuCgiYIkIKey9HQ8cF&#10;Uh7pNnf3LN5f0A+XzLVNCho082rZ6GtYuqN4Arwi2v6akArF9vryUtdFYMh4+QURcSeS7KCEy50B&#10;IpeUxadZYTnxUqbdq2q3ArAilmAAS1BwIMBGIYAnRUoa0cqpcgVgxCDkkuhCqqvtZiaAZQ2VOb4w&#10;wLpCkX4hwA4ZL6XbmmlPANtDC4ThO6kd/wyFbxyAFfqUKuu/NCCKIsh3mAHW9XlKyA9IuqXbCi8J&#10;sAdILILq/N+ntMy4sn9c5CeC9P7XpxqSDSyjxRMGJL3F5P8LCASuCKMoEFNtdCAQe0FEmW7ke3qm&#10;JsYYjZkucnn8K5DYdz2q88p2KhLrLRVruDQUQ58o5ZDBZzww+Gz3XbLdIz3X0HjQOpiizytNybkm&#10;ySlmQadQM/pSWN+DZDNG2Ch0yT0UXhTgjyKBpzdR2BcUbEgKi6FLlVYBAon4NCjT5fkOMGGYqsRt&#10;FQgICotYeYSirRraqcjJRQLe8oqQUwjSnMTGbNyEmTMJryPDZei5xM0j/dZwc2Kxd8dihT6lslhd&#10;ouqLsV7E0ldJyEubuBlKmSABjKDyEy+o0qxwkPe+dHFKk52OkIjB5T8tYSfWK1X6zljiJhRqo9hn&#10;qSoxYz5WaglJ9dCp3PgQZefeCNdPL4diub/z1qx4mhjFi6EGeXJR64icOCE2qrAuF9fzUbmfXRIx&#10;kKmd4sr1ltfjyT0hR8kYKNFFgeO+3NR3viZd0fPYJ2Om9PxHUPTeluTNqEwQj7TRHiCbmRDL6PZF&#10;e5F8Q8ihzFxZjgix5RiBEU8OukfNurneF6Nay0EnOp/vO2Ui84Icl6YO5ZQh1wP6hhHU96dSic6t&#10;BR3TZFIXkpcy3yCBmnQcsk7TpGxpGbRVo2OahBT7pS5TXB9uvS/yHPhmUVrIUQvt3uds10ZnhXbo&#10;hICnMEuer+fGgFXjheS5JwSgij2FeAh0LKl+O+WadbkhRe/mKm6gGT0zN9hxsPzLSJX7nhBPjBai&#10;CtCnLUQUpsURJAGgMwraUgvB1fZHveNkIbA4xR4lvhaxTVDWpVnIKMGML4JmltBhhRCDghk3ZrFy&#10;klAVWtqGj3UPEsoAiSJWI0IZ13Uo5iAHVBF+8SPb76U3VPj8hbM5mFpQGmNYVskw3AUSQ2tllTHg&#10;IY3IbpJbKv3X4pnXuqy6t85cM+hittNpHQjke1gErM7oNOialgg3j+a6uj/zOItfboqW4yCwLicx&#10;pj0IgUMXUnckMZTQxLKCwFCEzxCYhFpKWsjQSmpJvtZOsbALA7AvpCQTAKs7oE6vMMMQ8AU24W/X&#10;1sWrxl+hCxmMA0GlxBD8DUMoQmHLSkuNT/B7hrDoEvArwmhKgGOmSQ+CXw9hbQuLHG7CC0g5jMid&#10;pAmQ7SYF9uAiaweHI/CLHxkFbrW8IggWUp5U80E5VRbX6V3hps53DprSdY3+DkqKTnL+lZY0+SbR&#10;EXJjmkX1FYc9L+ILK+BnYgjbkvtFX9VpEE3wHCHhDnnxI6EOHLkxxNX6QUQZLBzv0poxhM+lwSrC&#10;nYbCZ4l1cNXuCEc8BJrCxOsUBznYMMIAQRys03KwPq6tI9aBFaWmh43IJhzS0ON1HDLGcVtNFT9z&#10;6ShHyEztYx4QUmWm067WNAoCDuUYIHq0kDIGuq+dTnq4rSNdRtnwgU+mauV1EV2mTOrCJtrXd8cI&#10;crZ0rQtSLIwVibXOPuCIsQ4pvbq7ajlc892tU9INi711Sj8AQCJT5sUBg2A+ZSxQ9mMSHXRP12uV&#10;sW/ad4swjwXHLGc4yHfLOM+Hamzqn7lxSAfMil8VdVK28yLezuS622WzF/bcsALY0jJ5bjUDcNpz&#10;mwahc/C6FxecITkd0dSdUEpn13YW2ziOW6QelBp3XO0mA7chjtvz2cE/yItbO4lkEd0UdPc7+NVc&#10;9gM7XU1ki4iHLyBbkYfZG8RHhjJ3z+FR9w+XuU9naAA2nywUus16eDizkVkkJQlQSUbw42UkwYez&#10;b5scIYDjQ2l8H9LdHCaOIJtJitBqqPjHS1MEkXUwZKnoZvbe5Btq9yj5lmPAGQLj3m5EdFSl+1pc&#10;/1q5d7fH77McjVVZI+iq2It2hmb0bOPjxmEtt5v9v7FaisNadgivYJJ+AudVEZWMm4lcKDRonwxF&#10;HtN71YYiJEITiqi5k9OFEIp50K3esoKEqas+0AEwm/szjjNF8CMgCZRVdiMJrbk8jiQKfiQOzvcA&#10;U/QTKMBp4MdkIGevhRjDWI4pgvQk1+HGEiLKZlpo4tGNPxOaNE+Fv2Z3g7eIdPISGtX3NhDhbuDM&#10;EU0TZGiCIroR7/4s5DZZKxx62m0dkL8nMSE5taODjBDW+heNtYYeOzghxqfUNLxOwk//IvZzf2Zy&#10;w7REpBUMvBXKQE6aikpLInzKJhawWoeJcVpCk+WTgdyQpxEip8lAVH26A0sUA4F0Mi0dmQxET3Oc&#10;CUFGKSuCb5Jg7oaqjnzr/yDV0Q1gVyvJW6OIHhshearvgNRCy4oQlTQV3dHUUAqP7aYK+FxYecS7&#10;OjpJXDJMMzCNAteUmPTonTrTqHql24ZvlMQdkx7pOTW9KX4IsmLX4pqs4xb31oTH9EZEDzbrbR4A&#10;HrzMy6FHKDWwF67dccHvbaIHnAbc7VuQo570cpq3QUE4882uQ78UUtoHg4/41Hk8r9W5nIW4qfsH&#10;yO/wbbNE7mffjIu/zlb9m5xnIb+/993/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wOAABbQ29udGVudF9UeXBlc10ueG1sUEsBAhQACgAAAAAA&#10;h07iQAAAAAAAAAAAAAAAAAYAAAAAAAAAAAAQAAAArg0AAF9yZWxzL1BLAQIUABQAAAAIAIdO4kCK&#10;FGY80QAAAJQBAAALAAAAAAAAAAEAIAAAANINAABfcmVscy8ucmVsc1BLAQIUAAoAAAAAAIdO4kAA&#10;AAAAAAAAAAAAAAAEAAAAAAAAAAAAEAAAAAAAAABkcnMvUEsBAhQAFAAAAAgAh07iQByFai7bAAAA&#10;CwEAAA8AAAAAAAAAAQAgAAAAIgAAAGRycy9kb3ducmV2LnhtbFBLAQIUABQAAAAIAIdO4kAt9mub&#10;WAwAAAd4AAAOAAAAAAAAAAEAIAAAACoBAABkcnMvZTJvRG9jLnhtbFBLBQYAAAAABgAGAFkBAAD0&#10;DwAAAAA=&#10;">
                <o:lock v:ext="edit" aspectratio="f"/>
                <v:group id="Group 66" o:spid="_x0000_s1026" o:spt="203" style="position:absolute;left:7725;top:6552;height:885;width:2550;" coordorigin="7935,6840" coordsize="2550,885"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Quad Arrow 80" o:spid="_x0000_s1026" o:spt="202" type="#_x0000_t202" style="position:absolute;left:8031;top:6957;height:768;width:2310;" filled="f" stroked="f" coordsize="21600,21600" o:gfxdata="UEsDBAoAAAAAAIdO4kAAAAAAAAAAAAAAAAAEAAAAZHJzL1BLAwQUAAAACACHTuJAQ7OG9r0AAADb&#10;AAAADwAAAGRycy9kb3ducmV2LnhtbEWPQWvCQBCF70L/wzJCb7qrtFJjNh4qhZ5aqlbwNmTHJJid&#10;DdmtSf9951DwNsN78943+Xb0rbpRH5vAFhZzA4q4DK7hysLx8DZ7ARUTssM2MFn4pQjb4mGSY+bC&#10;wF9026dKSQjHDC3UKXWZ1rGsyWOch45YtEvoPSZZ+0q7HgcJ961eGrPSHhuWhho7eq2pvO5/vIXv&#10;j8v59GQ+q51/7oYwGs1+ra19nC7MBlSiMd3N/9fvTvCFX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s4b2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sz w:val="18"/>
                              <w:szCs w:val="18"/>
                            </w:rPr>
                          </w:pPr>
                          <w:r>
                            <w:rPr>
                              <w:rFonts w:hint="eastAsia"/>
                              <w:sz w:val="18"/>
                              <w:szCs w:val="18"/>
                            </w:rPr>
                            <w:t>告知申请人补齐全部材料，出具补正告知书</w:t>
                          </w:r>
                        </w:p>
                      </w:txbxContent>
                    </v:textbox>
                  </v:shape>
                  <v:rect id="Rectangle 79" o:spid="_x0000_s1026" o:spt="1" style="position:absolute;left:7935;top:6840;height:885;width:2550;" filled="f" stroked="t" coordsize="21600,21600" o:gfxdata="UEsDBAoAAAAAAIdO4kAAAAAAAAAAAAAAAAAEAAAAZHJzL1BLAwQUAAAACACHTuJAYKKPxLkAAADb&#10;AAAADwAAAGRycy9kb3ducmV2LnhtbEVPTYvCMBC9L/gfwgh7W9MuKEs1ioqCJ0FXUG9DMybFZlKa&#10;rHX/vREEb/N4nzOZ3V0tbtSGyrOCfJCBIC69rtgoOPyuv35AhIissfZMCv4pwGza+5hgoX3HO7rt&#10;oxEphEOBCmyMTSFlKC05DAPfECfu4luHMcHWSN1il8JdLb+zbCQdVpwaLDa0tFRe939Owao5b+dD&#10;E+T8GO3p6hfd2m6NUp/9PBuDiHSPb/HLvdFpfg7PX9IBcvo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Cij8S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group>
                <v:group id="Group 61" o:spid="_x0000_s1026" o:spt="203" style="position:absolute;left:4800;top:2800;height:870;width:2550;" coordorigin="4800,2800" coordsize="2550,870"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roundrect id="Rounded Rectangle 70" o:spid="_x0000_s1026" o:spt="2" style="position:absolute;left:4800;top:2800;height:644;width:2550;" fillcolor="#FFFFFF" filled="t" stroked="t" coordsize="21600,21600" arcsize="0.166666666666667" o:gfxdata="UEsDBAoAAAAAAIdO4kAAAAAAAAAAAAAAAAAEAAAAZHJzL1BLAwQUAAAACACHTuJAM7G7EroAAADb&#10;AAAADwAAAGRycy9kb3ducmV2LnhtbEVPPW/CMBDdkfgP1iF1A5uiojbgZECiYkMNHTpe42sSEZ+D&#10;7QTKr68rVep2T+/ztsXNdmIkH1rHGpYLBYK4cqblWsP7aT9/BhEissHOMWn4pgBFPp1sMTPuym80&#10;lrEWKYRDhhqaGPtMylA1ZDEsXE+cuC/nLcYEfS2Nx2sKt518VGotLbacGhrsaddQdS4Hq6EyalD+&#10;Yzy+fD7F8j4OF5avF60fZku1ARHpFv/Ff+6DSfNX8PtLOkDm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sbsS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roundrect>
                  <v:shape id="Quad Arrow 71" o:spid="_x0000_s1026" o:spt="202" type="#_x0000_t202" style="position:absolute;left:4881;top:2935;height:735;width:2310;" filled="f" stroked="f" coordsize="21600,21600" o:gfxdata="UEsDBAoAAAAAAIdO4kAAAAAAAAAAAAAAAAAEAAAAZHJzL1BLAwQUAAAACACHTuJAPIiA9bkAAADb&#10;AAAADwAAAGRycy9kb3ducmV2LnhtbEVPS4vCMBC+C/sfwizszSaKylqNHlaEPSk+VvA2NGNbtpmU&#10;Jtr6740geJuP7znzZWcrcaPGl441DBIFgjhzpuRcw/Gw7n+D8AHZYOWYNNzJw3Lx0ZtjalzLO7rt&#10;Qy5iCPsUNRQh1KmUPivIok9cTRy5i2sshgibXJoG2xhuKzlUaiItlhwbCqzpp6Dsf3+1Gv42l/Np&#10;pLb5yo7r1nVKsp1Krb8+B2oGIlAX3uKX+9fE+SN4/hIPkI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yIgPW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jc w:val="center"/>
                            <w:rPr>
                              <w:sz w:val="18"/>
                              <w:szCs w:val="18"/>
                            </w:rPr>
                          </w:pPr>
                          <w:r>
                            <w:rPr>
                              <w:rFonts w:hint="eastAsia"/>
                              <w:sz w:val="18"/>
                              <w:szCs w:val="18"/>
                            </w:rPr>
                            <w:t>申请人现场提交材料</w:t>
                          </w:r>
                        </w:p>
                      </w:txbxContent>
                    </v:textbox>
                  </v:shape>
                </v:group>
                <v:group id="Group 62" o:spid="_x0000_s1026" o:spt="203" style="position:absolute;left:4758;top:3767;height:888;width:2550;" coordorigin="4758,3767" coordsize="2550,888"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Quad Arrow 72" o:spid="_x0000_s1026" o:spt="202" type="#_x0000_t202" style="position:absolute;left:4800;top:3890;height:765;width:2508;" filled="f" stroked="f" coordsize="21600,21600" o:gfxdata="UEsDBAoAAAAAAIdO4kAAAAAAAAAAAAAAAAAEAAAAZHJzL1BLAwQUAAAACACHTuJAoxa7GbkAAADb&#10;AAAADwAAAGRycy9kb3ducmV2LnhtbEVPS4vCMBC+C/6HMII3m7iouF2jBxfBk+JrYW9DM7bFZlKa&#10;aOu/N8LC3ubje85i1dlKPKjxpWMN40SBIM6cKTnXcD5tRnMQPiAbrByThid5WC37vQWmxrV8oMcx&#10;5CKGsE9RQxFCnUrps4Is+sTVxJG7usZiiLDJpWmwjeG2kh9KzaTFkmNDgTWtC8pux7vVcNldf38m&#10;ap9/22nduk5Jtp9S6+FgrL5ABOrCv/jPvTVx/gzev8QD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Wuxm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jc w:val="center"/>
                            <w:rPr>
                              <w:sz w:val="18"/>
                              <w:szCs w:val="18"/>
                            </w:rPr>
                          </w:pPr>
                          <w:r>
                            <w:rPr>
                              <w:rFonts w:hint="eastAsia"/>
                              <w:sz w:val="18"/>
                              <w:szCs w:val="18"/>
                            </w:rPr>
                            <w:t>中国人民银行分支机构国库部门接收并审核申请材料</w:t>
                          </w:r>
                        </w:p>
                      </w:txbxContent>
                    </v:textbox>
                  </v:shape>
                  <v:rect id="Rectangle 73" o:spid="_x0000_s1026" o:spt="1" style="position:absolute;left:4758;top:3767;height:888;width:2550;" filled="f" stroked="t" coordsize="21600,21600" o:gfxdata="UEsDBAoAAAAAAIdO4kAAAAAAAAAAAAAAAAAEAAAAZHJzL1BLAwQUAAAACACHTuJAgAeyK7kAAADb&#10;AAAADwAAAGRycy9kb3ducmV2LnhtbEVPTYvCMBC9L/gfwgje1lRBV6pRVBQ8CesuqLehGZNiMylN&#10;tPrvjbCwt3m8z5ktHq4Sd2pC6VnBoJ+BIC68Ltko+P3Zfk5AhIissfJMCp4UYDHvfMww177lb7of&#10;ohEphEOOCmyMdS5lKCw5DH1fEyfu4huHMcHGSN1gm8JdJYdZNpYOS04NFmtaWyquh5tTsKnP++XI&#10;BLk8Rnu6+lW7tXujVK87yKYgIj3iv/jPvdNp/he8f0kHyP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AHsiu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group>
                <v:group id="Group 64" o:spid="_x0000_s1026" o:spt="203" style="position:absolute;left:1716;top:5335;height:905;width:3165;" coordorigin="1865,5335" coordsize="2820,905"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Diamond 77" o:spid="_x0000_s1026" o:spt="4" type="#_x0000_t4" style="position:absolute;left:1865;top:5335;height:905;width:2820;" fillcolor="#FFFFFF" filled="t" stroked="t" coordsize="21600,21600" o:gfxdata="UEsDBAoAAAAAAIdO4kAAAAAAAAAAAAAAAAAEAAAAZHJzL1BLAwQUAAAACACHTuJA1FqTMLoAAADb&#10;AAAADwAAAGRycy9kb3ducmV2LnhtbEVPzWoCMRC+C32HMAVvNdGD2K3RgyCI9eLqA0w342bbzWRN&#10;0l379o0geJuP73eW65trRU8hNp41TCcKBHHlTcO1hvNp+7YAEROywdYzafijCOvVy2iJhfEDH6kv&#10;Uy1yCMcCNdiUukLKWFlyGCe+I87cxQeHKcNQSxNwyOGulTOl5tJhw7nBYkcbS9VP+es0fH91djgs&#10;rhdVVqGX+0PYXY+fWo9fp+oDRKJbeoof7p3J89/h/ks+QK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WpMw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shape>
                  <v:shape id="Quad Arrow 78" o:spid="_x0000_s1026" o:spt="202" type="#_x0000_t202" style="position:absolute;left:2219;top:5573;height:513;width:1995;" filled="f" stroked="f" coordsize="21600,21600" o:gfxdata="UEsDBAoAAAAAAIdO4kAAAAAAAAAAAAAAAAAEAAAAZHJzL1BLAwQUAAAACACHTuJAjd9MS7kAAADb&#10;AAAADwAAAGRycy9kb3ducmV2LnhtbEVPy4rCMBTdC/5DuII7TRQdnE5TF4rgShlfMLtLc23LNDel&#10;ibb+vVkMzPJw3um6t7V4UusrxxpmUwWCOHem4kLD5bybrED4gGywdkwaXuRhnQ0HKSbGdfxNz1Mo&#10;RAxhn6CGMoQmkdLnJVn0U9cQR+7uWoshwraQpsUuhttazpX6kBYrjg0lNrQpKf89PayG6+H+c1uo&#10;Y7G1y6ZzvZJsP6XW49FMfYEI1Id/8Z97bzTM4/r4Jf4Amb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3fTEu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jc w:val="center"/>
                            <w:rPr>
                              <w:sz w:val="18"/>
                              <w:szCs w:val="18"/>
                            </w:rPr>
                          </w:pPr>
                          <w:r>
                            <w:rPr>
                              <w:rFonts w:hint="eastAsia"/>
                              <w:sz w:val="18"/>
                              <w:szCs w:val="18"/>
                            </w:rPr>
                            <w:t>材料齐全，符合法定形式</w:t>
                          </w:r>
                        </w:p>
                      </w:txbxContent>
                    </v:textbox>
                  </v:shape>
                </v:group>
                <v:group id="Group 65" o:spid="_x0000_s1026" o:spt="203" style="position:absolute;left:7605;top:5344;height:812;width:2820;" coordorigin="7605,5344" coordsize="2820,812"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Diamond 77" o:spid="_x0000_s1026" o:spt="4" type="#_x0000_t4" style="position:absolute;left:7605;top:5344;height:812;width:2820;" fillcolor="#FFFFFF" filled="t" stroked="t" coordsize="21600,21600" o:gfxdata="UEsDBAoAAAAAAIdO4kAAAAAAAAAAAAAAAAAEAAAAZHJzL1BLAwQUAAAACACHTuJAFJLL/LwAAADb&#10;AAAADwAAAGRycy9kb3ducmV2LnhtbEWPwW7CMBBE70j9B2sr9QY2OVQoYDhUqoQKF1I+YImXOBCv&#10;g+0m8Pd1pUocRzPzRrPa3F0nBgqx9axhPlMgiGtvWm40HL8/pwsQMSEb7DyThgdF2KxfJissjR/5&#10;QEOVGpEhHEvUYFPqSyljbclhnPmeOHtnHxymLEMjTcAxw10nC6XepcOW84LFnj4s1dfqx2m4nHo7&#10;7he3s6rqMMivfdjeDjut317nagki0T09w//trdFQFPD3Jf8Auf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Sy/y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shape>
                  <v:shape id="Quad Arrow 82" o:spid="_x0000_s1026" o:spt="202" type="#_x0000_t202" style="position:absolute;left:7785;top:5573;height:456;width:2466;" filled="f" stroked="f" coordsize="21600,21600" o:gfxdata="UEsDBAoAAAAAAIdO4kAAAAAAAAAAAAAAAAAEAAAAZHJzL1BLAwQUAAAACACHTuJA6w5g/bsAAADb&#10;AAAADwAAAGRycy9kb3ducmV2LnhtbEWPzWrDMBCE74G+g9hCb7Hkl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w5g/b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pPr>
                            <w:rPr>
                              <w:sz w:val="18"/>
                              <w:szCs w:val="18"/>
                            </w:rPr>
                          </w:pPr>
                          <w:r>
                            <w:rPr>
                              <w:rFonts w:hint="eastAsia"/>
                              <w:sz w:val="18"/>
                              <w:szCs w:val="18"/>
                            </w:rPr>
                            <w:t>材料不全，不符合法定形式</w:t>
                          </w:r>
                        </w:p>
                      </w:txbxContent>
                    </v:textbox>
                  </v:shape>
                </v:group>
                <v:group id="Group 70" o:spid="_x0000_s1026" o:spt="203" style="position:absolute;left:3576;top:7437;height:1290;width:2805;" coordorigin="4230,7437" coordsize="2805,1290"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rect id="Rectangle 83" o:spid="_x0000_s1026" o:spt="1" style="position:absolute;left:4230;top:7437;height:1290;width:2805;" filled="f" stroked="t" coordsize="21600,21600" o:gfxdata="UEsDBAoAAAAAAIdO4kAAAAAAAAAAAAAAAAAEAAAAZHJzL1BLAwQUAAAACACHTuJA0fVDer0AAADb&#10;AAAADwAAAGRycy9kb3ducmV2LnhtbEWPwWrDMBBE74H+g9hCb7EcQ0JxLYek1JBToGmg7W2xNpKJ&#10;tTKWEqd/XwUKPQ4z84ap1jfXiyuNofOsYJHlIIhbrzs2Co4fzfwZRIjIGnvPpOCHAqzrh1mFpfYT&#10;v9P1EI1IEA4lKrAxDqWUobXkMGR+IE7eyY8OY5KjkXrEKcFdL4s8X0mHHacFiwO9WmrPh4tT8DZ8&#10;7zdLE+TmM9qvs99Ojd0bpZ4eF/kLiEi3+B/+a++0gmIJ9y/pB8j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9UN6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shape id="Quad Arrow 84" o:spid="_x0000_s1026" o:spt="202" type="#_x0000_t202" style="position:absolute;left:4352;top:7624;height:933;width:2526;" filled="f" stroked="f" coordsize="21600,21600" o:gfxdata="UEsDBAoAAAAAAIdO4kAAAAAAAAAAAAAAAAAEAAAAZHJzL1BLAwQUAAAACACHTuJAbXpxpL0AAADb&#10;AAAADwAAAGRycy9kb3ducmV2LnhtbEWPQWvCQBSE74X+h+UVvDW7ESs1deNBKXiyNLYFb4/sMwnN&#10;vg3ZbRL/vVsQPA4z8w2z3ky2FQP1vnGsIU0UCOLSmYYrDV/H9+dXED4gG2wdk4YLedjkjw9rzIwb&#10;+ZOGIlQiQthnqKEOocuk9GVNFn3iOuLonV1vMUTZV9L0OEa4beVcqaW02HBcqLGjbU3lb/FnNXwf&#10;zqefhfqodvalG92kJNuV1Hr2lKo3EIGmcA/f2nujYb6E/y/x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enGk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szCs w:val="21"/>
                            </w:rPr>
                          </w:pPr>
                          <w:r>
                            <w:rPr>
                              <w:rFonts w:hint="eastAsia"/>
                              <w:szCs w:val="21"/>
                            </w:rPr>
                            <w:t>受理，并向申请人发出《行政许可受理通知书》</w:t>
                          </w:r>
                        </w:p>
                      </w:txbxContent>
                    </v:textbox>
                  </v:shape>
                </v:group>
                <v:group id="Group 76" o:spid="_x0000_s1026" o:spt="203" style="position:absolute;left:3404;top:9252;height:1470;width:2820;" coordorigin="3404,9252" coordsize="2820,1470"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shape id="Diamond 86" o:spid="_x0000_s1026" o:spt="4" type="#_x0000_t4" style="position:absolute;left:3404;top:9252;height:1470;width:2820;" fillcolor="#FFFFFF" filled="t" stroked="t" coordsize="21600,21600" o:gfxdata="UEsDBAoAAAAAAIdO4kAAAAAAAAAAAAAAAAAEAAAAZHJzL1BLAwQUAAAACACHTuJAdXr8FrgAAADb&#10;AAAADwAAAGRycy9kb3ducmV2LnhtbEVPvW7CMBDeK/UdrENiKzYMFQoYhkpIqLAQeIAjPuLQ+Bxs&#10;k9C3xwMS46fvf7l+uFb0FGLjWcN0okAQV940XGs4HTdfcxAxIRtsPZOGf4qwXn1+LLEwfuAD9WWq&#10;RQ7hWKAGm1JXSBkrSw7jxHfEmbv44DBlGGppAg453LVyptS3dNhwbrDY0Y+l6q+8Ow3Xc2eH/fx2&#10;UWUVevm7D9vbYaf1eDRVCxCJHuktfrm3RsMsj81f8g+Qq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Xr8FrgAAADbAAAA&#10;DwAAAAAAAAABACAAAAAiAAAAZHJzL2Rvd25yZXYueG1sUEsBAhQAFAAAAAgAh07iQDMvBZ47AAAA&#10;OQAAABAAAAAAAAAAAQAgAAAABwEAAGRycy9zaGFwZXhtbC54bWxQSwUGAAAAAAYABgBbAQAAsQMA&#10;AAAA&#10;">
                    <v:fill on="t" focussize="0,0"/>
                    <v:stroke color="#000000" joinstyle="miter"/>
                    <v:imagedata o:title=""/>
                    <o:lock v:ext="edit" aspectratio="f"/>
                  </v:shape>
                  <v:shape id="Quad Arrow 87" o:spid="_x0000_s1026" o:spt="202" type="#_x0000_t202" style="position:absolute;left:3781;top:9600;height:930;width:1995;" filled="f" stroked="f" coordsize="21600,21600" o:gfxdata="UEsDBAoAAAAAAIdO4kAAAAAAAAAAAAAAAAAEAAAAZHJzL1BLAwQUAAAACACHTuJAHOXl1rsAAADb&#10;AAAADwAAAGRycy9kb3ducmV2LnhtbEWPT4vCMBTE74LfITzBmyaKLlqNHlwWPLn4F7w9mmdbbF5K&#10;E2399htB2OMwM79hluvWluJJtS8caxgNFQji1JmCMw2n489gBsIHZIOlY9LwIg/rVbezxMS4hvf0&#10;PIRMRAj7BDXkIVSJlD7NyaIfuoo4ejdXWwxR1pk0NTYRbks5VupLWiw4LuRY0San9H54WA3n3e16&#10;majf7NtOq8a1SrKdS637vZFagAjUhv/wp701GsZz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Xl1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jc w:val="center"/>
                            <w:rPr>
                              <w:szCs w:val="21"/>
                            </w:rPr>
                          </w:pPr>
                          <w:r>
                            <w:rPr>
                              <w:rFonts w:hint="eastAsia"/>
                              <w:szCs w:val="21"/>
                            </w:rPr>
                            <w:t>资格认定审批</w:t>
                          </w:r>
                        </w:p>
                        <w:p>
                          <w:pPr>
                            <w:jc w:val="center"/>
                            <w:rPr>
                              <w:szCs w:val="21"/>
                            </w:rPr>
                          </w:pPr>
                          <w:r>
                            <w:rPr>
                              <w:rFonts w:hint="eastAsia"/>
                              <w:szCs w:val="21"/>
                            </w:rPr>
                            <w:t>（</w:t>
                          </w:r>
                          <w:r>
                            <w:rPr>
                              <w:rFonts w:hint="eastAsia"/>
                              <w:szCs w:val="21"/>
                              <w:lang w:val="en-US" w:eastAsia="zh-CN"/>
                            </w:rPr>
                            <w:t>20</w:t>
                          </w:r>
                          <w:r>
                            <w:rPr>
                              <w:rFonts w:hint="eastAsia"/>
                              <w:szCs w:val="21"/>
                            </w:rPr>
                            <w:t>个工作日）</w:t>
                          </w:r>
                        </w:p>
                      </w:txbxContent>
                    </v:textbox>
                  </v:shape>
                </v:group>
                <v:shape id="Quad Arrow 89" o:spid="_x0000_s1026" o:spt="202" type="#_x0000_t202" style="position:absolute;left:9294;top:7848;height:1314;width:1416;" filled="f" stroked="t" coordsize="21600,21600" o:gfxdata="UEsDBAoAAAAAAIdO4kAAAAAAAAAAAAAAAAAEAAAAZHJzL1BLAwQUAAAACACHTuJA33pUzr4AAADb&#10;AAAADwAAAGRycy9kb3ducmV2LnhtbEWPzW7CMBCE75V4B2uRuDVOiFTagOHAj9Rjm6btdYmXJCJe&#10;R7FJKE+PK1XqcTQ73+ysNlfTioF611hWkEQxCOLS6oYrBcXH4fEZhPPIGlvLpOCHHGzWk4cVZtqO&#10;/E5D7isRIOwyVFB732VSurImgy6yHXHwTrY36IPsK6l7HAPctHIex0/SYMOhocaOtjWV5/xiwhvz&#10;7yLdveW0WOAx3e1vny+nr1ap2TSJlyA8Xf3/8V/6VStIE/jdEgAg1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pUzr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rPr>
                            <w:sz w:val="18"/>
                            <w:szCs w:val="18"/>
                          </w:rPr>
                        </w:pPr>
                        <w:r>
                          <w:rPr>
                            <w:rFonts w:hint="eastAsia"/>
                            <w:sz w:val="18"/>
                            <w:szCs w:val="18"/>
                          </w:rPr>
                          <w:t>拒不补正，或逾期未补的，视为放弃行政许可申请</w:t>
                        </w:r>
                      </w:p>
                    </w:txbxContent>
                  </v:textbox>
                </v:shape>
                <v:group id="Group 79" o:spid="_x0000_s1026" o:spt="203" style="position:absolute;left:1644;top:10899;height:909;width:2235;" coordorigin="1644,10899" coordsize="2235,909"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rect id="Rectangle 92" o:spid="_x0000_s1026" o:spt="1" style="position:absolute;left:1644;top:10899;height:849;width:2235;" filled="f" stroked="t" coordsize="21600,21600" o:gfxdata="UEsDBAoAAAAAAIdO4kAAAAAAAAAAAAAAAAAEAAAAZHJzL1BLAwQUAAAACACHTuJA28VN070AAADb&#10;AAAADwAAAGRycy9kb3ducmV2LnhtbEWPQWvCQBSE7wX/w/IK3upGpUWia4ilgqdAVWi9PbKvu8Hs&#10;25BdTfrvu4VCj8PMfMNsitG14k59aDwrmM8yEMS11w0bBefT/mkFIkRkja1nUvBNAYrt5GGDufYD&#10;v9P9GI1IEA45KrAxdrmUobbkMMx8R5y8L987jEn2RuoehwR3rVxk2Yt02HBasNjRq6X6erw5BW/d&#10;pSqfTZDlR7SfV78b9rYySk0f59kaRKQx/of/2getYLmA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xU3T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shape id="Quad Arrow 94" o:spid="_x0000_s1026" o:spt="202" type="#_x0000_t202" style="position:absolute;left:1716;top:11076;height:732;width:2115;" filled="f" stroked="f" coordsize="21600,21600" o:gfxdata="UEsDBAoAAAAAAIdO4kAAAAAAAAAAAAAAAAAEAAAAZHJzL1BLAwQUAAAACACHTuJA+NRE4bsAAADb&#10;AAAADwAAAGRycy9kb3ducmV2LnhtbEWPT4vCMBTE7wt+h/AEb2uirqLV6MFF8LSLf8Hbo3m2xeal&#10;NFlbv/1GEDwOM/MbZrFqbSnuVPvCsYZBX4EgTp0pONNwPGw+pyB8QDZYOiYND/KwWnY+FpgY1/CO&#10;7vuQiQhhn6CGPIQqkdKnOVn0fVcRR+/qaoshyjqTpsYmwm0ph0pNpMWC40KOFa1zSm/7P6vh9HO9&#10;nL/Ub/Ztx1XjWiXZzqTWve5AzUEEasM7/GpvjYbRCJ5f4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E4b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jc w:val="center"/>
                            <w:rPr>
                              <w:sz w:val="18"/>
                              <w:szCs w:val="18"/>
                            </w:rPr>
                          </w:pPr>
                          <w:r>
                            <w:rPr>
                              <w:rFonts w:hint="eastAsia"/>
                              <w:sz w:val="18"/>
                              <w:szCs w:val="18"/>
                            </w:rPr>
                            <w:t>颁发准予行政许可决定书</w:t>
                          </w:r>
                        </w:p>
                      </w:txbxContent>
                    </v:textbox>
                  </v:shape>
                </v:group>
                <v:shape id="Quad Arrow 96" o:spid="_x0000_s1026" o:spt="202" type="#_x0000_t202" style="position:absolute;left:2219;top:10277;height:445;width:1239;" filled="f" stroked="f" coordsize="21600,21600" o:gfxdata="UEsDBAoAAAAAAIdO4kAAAAAAAAAAAAAAAAAEAAAAZHJzL1BLAwQUAAAACACHTuJAGHF5Dr0AAADb&#10;AAAADwAAAGRycy9kb3ducmV2LnhtbEWPT2vCQBTE74LfYXmCN7Nr2xQbXT20FDxZtK3Q2yP78gez&#10;b0N2m8Rv3y0IHoeZ+Q2z2Y22ET11vnasYZkoEMS5MzWXGr4+3xcrED4gG2wck4Yredhtp5MNZsYN&#10;fKT+FEoRIewz1FCF0GZS+rwiiz5xLXH0CtdZDFF2pTQdDhFuG/mg1LO0WHNcqLCl14ryy+nXavg+&#10;FD/nJ/VRvtm0HdyoJNsXqfV8tlRrEIHGcA/f2nuj4TGF/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cXk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sz w:val="18"/>
                            <w:szCs w:val="18"/>
                          </w:rPr>
                        </w:pPr>
                        <w:r>
                          <w:rPr>
                            <w:rFonts w:hint="eastAsia"/>
                            <w:sz w:val="18"/>
                            <w:szCs w:val="18"/>
                          </w:rPr>
                          <w:t>认定通过</w:t>
                        </w:r>
                      </w:p>
                    </w:txbxContent>
                  </v:textbox>
                </v:shape>
                <v:shape id="Quad Arrow 97" o:spid="_x0000_s1026" o:spt="202" type="#_x0000_t202" style="position:absolute;left:5940;top:10277;height:445;width:1239;" filled="f" stroked="f" coordsize="21600,21600" o:gfxdata="UEsDBAoAAAAAAIdO4kAAAAAAAAAAAAAAAAAEAAAAZHJzL1BLAwQUAAAACACHTuJA6KPnebwAAADb&#10;AAAADwAAAGRycy9kb3ducmV2LnhtbEWPT4vCMBTE7wt+h/AEb2viuitajR5cBE8r6z/w9miebbF5&#10;KU209dsbQfA4zMxvmNmitaW4Ue0LxxoGfQWCOHWm4EzDfrf6HIPwAdlg6Zg03MnDYt75mGFiXMP/&#10;dNuGTEQI+wQ15CFUiZQ+zcmi77uKOHpnV1sMUdaZNDU2EW5L+aXUSFosOC7kWNEyp/SyvVoNh7/z&#10;6fitNtmv/aka1yrJdiK17nUHagoiUBve4Vd7bTQMR/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j53m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sz w:val="18"/>
                            <w:szCs w:val="18"/>
                          </w:rPr>
                        </w:pPr>
                        <w:r>
                          <w:rPr>
                            <w:rFonts w:hint="eastAsia"/>
                            <w:sz w:val="18"/>
                            <w:szCs w:val="18"/>
                          </w:rPr>
                          <w:t>认定未通过</w:t>
                        </w:r>
                      </w:p>
                    </w:txbxContent>
                  </v:textbox>
                </v:shape>
                <v:shape id="Straight Connector 101" o:spid="_x0000_s1026" o:spt="32" type="#_x0000_t32" style="position:absolute;left:6063;top:3444;height:323;width:1;" filled="f" stroked="t" coordsize="21600,21600" o:gfxdata="UEsDBAoAAAAAAIdO4kAAAAAAAAAAAAAAAAAEAAAAZHJzL1BLAwQUAAAACACHTuJA29At7r4AAADb&#10;AAAADwAAAGRycy9kb3ducmV2LnhtbEWPW2sCMRSE3wv9D+EU+qZZLax2NQoqpftSwQvFx8PmdBO6&#10;OVk28frrTUHo4zAz3zDT+cU14kRdsJ4VDPoZCOLKa8u1gv3uozcGESKyxsYzKbhSgPns+WmKhfZn&#10;3tBpG2uRIBwKVGBibAspQ2XIYej7ljh5P75zGJPsaqk7PCe4a+Qwy3Lp0HJaMNjS0lD1uz06BXF1&#10;uJr8u1q82/Xu8yu3t7IsV0q9vgyyCYhIl/gffrRLreBtBH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9At7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Straight Connector 103" o:spid="_x0000_s1026" o:spt="32" type="#_x0000_t32" style="position:absolute;left:4800;top:8727;height:525;width:1;" filled="f" stroked="t" coordsize="21600,21600" o:gfxdata="UEsDBAoAAAAAAIdO4kAAAAAAAAAAAAAAAAAEAAAAZHJzL1BLAwQUAAAACACHTuJAqk+5nLsAAADb&#10;AAAADwAAAGRycy9kb3ducmV2LnhtbEVPW2vCMBR+H+w/hDPY20zroGg1FjaR9WWCOoaPh+bYBJuT&#10;0mRe9uvNg+Djx3efVxfXiRMNwXpWkI8yEMSN15ZbBT+71dsERIjIGjvPpOBKAarF89McS+3PvKHT&#10;NrYihXAoUYGJsS+lDI0hh2Hke+LEHfzgMCY4tFIPeE7hrpPjLCukQ8upwWBPn4aa4/bPKYjL/dUU&#10;v83H1K53X9+F/a/reqnU60uezUBEusSH+O6utYL3NDZ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k+5n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id="Group 78" o:spid="_x0000_s1026" o:spt="203" style="position:absolute;left:2894;top:9984;height:915;width:481;" coordorigin="2203,10960" coordsize="481,915"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shape id="Straight Connector 91" o:spid="_x0000_s1026" o:spt="32" type="#_x0000_t32" style="position:absolute;left:2218;top:10960;height:1;width:466;" filled="f" stroked="t" coordsize="21600,21600" o:gfxdata="UEsDBAoAAAAAAIdO4kAAAAAAAAAAAAAAAAAEAAAAZHJzL1BLAwQUAAAACACHTuJAlscjnbwAAADb&#10;AAAADwAAAGRycy9kb3ducmV2LnhtbEWPQYvCMBSE78L+h/AW9iJrUhdlrUYRYUGPWsHro3m21eal&#10;NNGqv94sCB6HmfmGmS1uthZXan3lWEMyUCCIc2cqLjTss7/vXxA+IBusHZOGO3lYzD96M0yN63hL&#10;110oRISwT1FDGUKTSunzkiz6gWuIo3d0rcUQZVtI02IX4baWQ6XG0mLFcaHEhlYl5efdxWogfxkl&#10;ajmxxX7z6PqH4ePUNZnWX5+JmoIIdAvv8Ku9Nhp+JvD/Jf4A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HI52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Straight Connector 104" o:spid="_x0000_s1026" o:spt="32" type="#_x0000_t32" style="position:absolute;left:2203;top:10960;height:915;width:1;" filled="f" stroked="t" coordsize="21600,21600" o:gfxdata="UEsDBAoAAAAAAIdO4kAAAAAAAAAAAAAAAAAEAAAAZHJzL1BLAwQUAAAACACHTuJADD/G57sAAADb&#10;AAAADwAAAGRycy9kb3ducmV2LnhtbEVPW2vCMBR+H+w/hDPY20wro2g1FjaR9WWCOoaPh+bYBJuT&#10;0mRe9uvNg+Djx3efVxfXiRMNwXpWkI8yEMSN15ZbBT+71dsERIjIGjvPpOBKAarF89McS+3PvKHT&#10;NrYihXAoUYGJsS+lDI0hh2Hke+LEHfzgMCY4tFIPeE7hrpPjLCukQ8upwWBPn4aa4/bPKYjL/dUU&#10;v83H1K53X9+F/a/reqnU60uezUBEusSH+O6utYL3tD5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D/G5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v:group id="Group 77" o:spid="_x0000_s1026" o:spt="203" style="position:absolute;left:6224;top:9983;height:916;width:467;" coordorigin="6224,9983" coordsize="467,916"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shape id="Straight Connector 90" o:spid="_x0000_s1026" o:spt="32" type="#_x0000_t32" style="position:absolute;left:6224;top:9983;height:1;width:466;" filled="f" stroked="t" coordsize="21600,21600" o:gfxdata="UEsDBAoAAAAAAIdO4kAAAAAAAAAAAAAAAAAEAAAAZHJzL1BLAwQUAAAACACHTuJAwGXCkb0AAADb&#10;AAAADwAAAGRycy9kb3ducmV2LnhtbEWPQWvCQBSE7wX/w/IEL0V3E1rR1FVEENpjTcDrI/u6SZt9&#10;G7Krsf76bqHQ4zAz3zCb3c114kpDaD1ryBYKBHHtTctWQ1Ue5ysQISIb7DyThm8KsNtOHjZYGD/y&#10;O11P0YoE4VCghibGvpAy1A05DAvfEyfvww8OY5KDlWbAMcFdJ3OlltJhy2mhwZ4ODdVfp4vTQOHy&#10;nKn92tnq7T4+nvP759iXWs+mmXoBEekW/8N/7Vej4SmH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ZcKR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Straight Connector 105" o:spid="_x0000_s1026" o:spt="32" type="#_x0000_t32" style="position:absolute;left:6690;top:9984;height:915;width:1;" filled="f" stroked="t" coordsize="21600,21600" o:gfxdata="UEsDBAoAAAAAAIdO4kAAAAAAAAAAAAAAAAAEAAAAZHJzL1BLAwQUAAAACACHTuJA/O1YkL4AAADb&#10;AAAADwAAAGRycy9kb3ducmV2LnhtbEWPW2sCMRSE3wv9D+EUfNOsWha7GoVWxH1pwQvFx8PmuAlu&#10;TpZNvPXXNwWhj8PMfMPMFjfXiAt1wXpWMBxkIIgrry3XCva7VX8CIkRkjY1nUnCnAIv589MMC+2v&#10;vKHLNtYiQTgUqMDE2BZShsqQwzDwLXHyjr5zGJPsaqk7vCa4a+Qoy3Lp0HJaMNjSh6HqtD07BXF5&#10;uJv8u3p/s1+79Wduf8qyXCrVexlmUxCRbvE//GiXWsHrGP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1Yk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v:group id="Group 82" o:spid="_x0000_s1026" o:spt="203" style="position:absolute;left:3135;top:12912;height:941;width:2550;" coordorigin="3255,12439" coordsize="2550,941"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rect id="Rectangle 107" o:spid="_x0000_s1026" o:spt="1" style="position:absolute;left:3255;top:12439;height:941;width:2550;" filled="f" stroked="t" coordsize="21600,21600" o:gfxdata="UEsDBAoAAAAAAIdO4kAAAAAAAAAAAAAAAAAEAAAAZHJzL1BLAwQUAAAACACHTuJADCqm2r0AAADb&#10;AAAADwAAAGRycy9kb3ducmV2LnhtbEWPzWrDMBCE74W8g9hCbo2cEpfgRDFOaaAnQ36gzW2xtpKJ&#10;tTKWGqdvXxUCPQ4z8w2zLm+uE1caQutZwXyWgSBuvG7ZKDgdd09LECEia+w8k4IfClBuJg9rLLQf&#10;eU/XQzQiQTgUqMDG2BdShsaSwzDzPXHyvvzgMCY5GKkHHBPcdfI5y16kw5bTgsWeXi01l8O3U/DW&#10;n+sqN0FWH9F+Xvx23NnaKDV9nGcrEJFu8T98b79rBYs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Kqba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shape id="Quad Arrow 108" o:spid="_x0000_s1026" o:spt="202" type="#_x0000_t202" style="position:absolute;left:3375;top:12540;height:768;width:2310;" filled="f" stroked="f" coordsize="21600,21600" o:gfxdata="UEsDBAoAAAAAAIdO4kAAAAAAAAAAAAAAAAAEAAAAZHJzL1BLAwQUAAAACACHTuJAsKWUBL0AAADb&#10;AAAADwAAAGRycy9kb3ducmV2LnhtbEWPzWrDMBCE74G8g9hAbrGUkobGtZJDS6GnlDptIbfFWv9Q&#10;a2Us1XbePioEchxm5hsmO0y2FQP1vnGsYZ0oEMSFMw1XGr5Ob6snED4gG2wdk4YLeTjs57MMU+NG&#10;/qQhD5WIEPYpaqhD6FIpfVGTRZ+4jjh6pesthij7Spoexwi3rXxQaistNhwXauzopabiN/+zGr6P&#10;5flnoz6qV/vYjW5Sku1Oar1crNUziEBTuIdv7XejYbOF/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pZQE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szCs w:val="21"/>
                            </w:rPr>
                          </w:pPr>
                          <w:r>
                            <w:rPr>
                              <w:rFonts w:hint="eastAsia"/>
                              <w:szCs w:val="21"/>
                            </w:rPr>
                            <w:t>通知申请人领取或邮寄审批结果</w:t>
                          </w:r>
                        </w:p>
                      </w:txbxContent>
                    </v:textbox>
                  </v:shape>
                </v:group>
                <v:shape id="Straight Connector 110" o:spid="_x0000_s1026" o:spt="32" type="#_x0000_t32" style="position:absolute;left:4574;top:12440;height:1;width:2172;" filled="f" stroked="t" coordsize="21600,21600" o:gfxdata="UEsDBAoAAAAAAIdO4kAAAAAAAAAAAAAAAAAEAAAAZHJzL1BLAwQUAAAACACHTuJA8knK4bsAAADb&#10;AAAADwAAAGRycy9kb3ducmV2LnhtbEVPW2vCMBR+H+w/hDPY20wro2g1FjaR9WWCOoaPh+bYBJuT&#10;0mRe9uvNg+Djx3efVxfXiRMNwXpWkI8yEMSN15ZbBT+71dsERIjIGjvPpOBKAarF89McS+3PvKHT&#10;NrYihXAoUYGJsS+lDI0hh2Hke+LEHfzgMCY4tFIPeE7hrpPjLCukQ8upwWBPn4aa4/bPKYjL/dUU&#10;v83H1K53X9+F/a/reqnU60uezUBEusSH+O6utYL3NDZ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knK4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id="Group 84" o:spid="_x0000_s1026" o:spt="203" style="position:absolute;left:6746;top:12012;height:1203;width:2430;" coordorigin="7995,12348" coordsize="2430,1203"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o:lock v:ext="edit" aspectratio="f"/>
                  <v:roundrect id="Rounded Rectangle 111" o:spid="_x0000_s1026" o:spt="2" style="position:absolute;left:7995;top:12348;height:1185;width:2430;" fillcolor="#FFFFFF" filled="t" stroked="t" coordsize="21600,21600" arcsize="0.166666666666667" o:gfxdata="UEsDBAoAAAAAAIdO4kAAAAAAAAAAAAAAAAAEAAAAZHJzL1BLAwQUAAAACACHTuJAQeqj5b0AAADb&#10;AAAADwAAAGRycy9kb3ducmV2LnhtbEWPwW7CMBBE75X4B2uReis2VVtBiMMBiao31JQDxyVekoh4&#10;HWwnUL6+rlSpx9HMvNHk65vtxEg+tI41zGcKBHHlTMu1hv3X9mkBIkRkg51j0vBNAdbF5CHHzLgr&#10;f9JYxlokCIcMNTQx9pmUoWrIYpi5njh5J+ctxiR9LY3Ha4LbTj4r9SYttpwWGuxp01B1LgeroTJq&#10;UP4w7pbH11jex+HC8v2i9eN0rlYgIt3if/iv/WE0vCzh90v6Ab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6qPl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roundrect>
                  <v:shape id="Quad Arrow 112" o:spid="_x0000_s1026" o:spt="202" type="#_x0000_t202" style="position:absolute;left:8145;top:12439;height:1112;width:2130;" filled="f" stroked="f" coordsize="21600,21600" o:gfxdata="UEsDBAoAAAAAAIdO4kAAAAAAAAAAAAAAAAAEAAAAZHJzL1BLAwQUAAAACACHTuJA1dk/NrcAAADb&#10;AAAADwAAAGRycy9kb3ducmV2LnhtbEVPy4rCMBTdD/gP4QruxkRR0Wp0oQiuHHyCu0tzbYvNTWmi&#10;rX8/WQguD+e9WLW2FC+qfeFYw6CvQBCnzhScaTiftr9TED4gGywdk4Y3eVgtOz8LTIxr+ECvY8hE&#10;DGGfoIY8hCqR0qc5WfR9VxFH7u5qiyHCOpOmxiaG21IOlZpIiwXHhhwrWueUPo5Pq+Gyv9+uI/WX&#10;bey4alyrJNuZ1LrXHag5iEBt+Io/7p3RMI7r45f4A+Ty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2T82twAAANsAAAAP&#10;AAAAAAAAAAEAIAAAACIAAABkcnMvZG93bnJldi54bWxQSwECFAAUAAAACACHTuJAMy8FnjsAAAA5&#10;AAAAEAAAAAAAAAABACAAAAAGAQAAZHJzL3NoYXBleG1sLnhtbFBLBQYAAAAABgAGAFsBAACwAwAA&#10;AAA=&#10;">
                    <v:fill on="f" focussize="0,0"/>
                    <v:stroke on="f"/>
                    <v:imagedata o:title=""/>
                    <o:lock v:ext="edit" aspectratio="f"/>
                    <v:textbox>
                      <w:txbxContent>
                        <w:p>
                          <w:pPr>
                            <w:rPr>
                              <w:sz w:val="18"/>
                              <w:szCs w:val="18"/>
                            </w:rPr>
                          </w:pPr>
                          <w:r>
                            <w:rPr>
                              <w:rFonts w:hint="eastAsia"/>
                              <w:sz w:val="18"/>
                              <w:szCs w:val="18"/>
                            </w:rPr>
                            <w:t>通过人民银行内蒙古自治区分行网站或各分行办公场所公开审批结果</w:t>
                          </w:r>
                        </w:p>
                      </w:txbxContent>
                    </v:textbox>
                  </v:shape>
                </v:group>
                <v:shape id="Straight Connector 113" o:spid="_x0000_s1026" o:spt="32" type="#_x0000_t32" style="position:absolute;left:4511;top:13853;height:487;width:1;" filled="f" stroked="t" coordsize="21600,21600" o:gfxdata="UEsDBAoAAAAAAIdO4kAAAAAAAAAAAAAAAAAEAAAAZHJzL1BLAwQUAAAACACHTuJAFnhr1r4AAADb&#10;AAAADwAAAGRycy9kb3ducmV2LnhtbEWPW2sCMRSE3wv+h3CEvtWsQhddjUIV6b5Y8ELp42Fz3IRu&#10;TpZN6u3XN4Lg4zAz3zCzxcU14kRdsJ4VDAcZCOLKa8u1gsN+/TYGESKyxsYzKbhSgMW89zLDQvsz&#10;b+m0i7VIEA4FKjAxtoWUoTLkMAx8S5y8o+8cxiS7WuoOzwnuGjnKslw6tJwWDLa0NFT97v6cgrj6&#10;uZr8u/qY2K/95ya3t7IsV0q99ofZFESkS3yGH+1SK3gfwf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nhr1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id="Group 83" o:spid="_x0000_s1026" o:spt="203" style="position:absolute;left:3255;top:14340;height:930;width:2430;" coordorigin="3255,13740" coordsize="2430,930" o:gfxdata="UEsDBAoAAAAAAIdO4kAAAAAAAAAAAAAAAAAEAAAAZHJzL1BLAwQUAAAACACHTuJAdBOLTb0AAADb&#10;AAAADwAAAGRycy9kb3ducmV2LnhtbEWPQYvCMBSE78L+h/AEb5pWqUjXKCLr4kEE68Kyt0fzbIvN&#10;S2myrf57Iwgeh5n5hlmub6YWHbWusqwgnkQgiHOrKy4U/Jx34wUI55E11pZJwZ0crFcfgyWm2vZ8&#10;oi7zhQgQdikqKL1vUildXpJBN7ENcfAutjXog2wLqVvsA9zUchpFc2mw4rBQYkPbkvJr9m8UfPfY&#10;b2bxV3e4Xrb3v3Ny/D3EpNRoGEefIDzd/Dv8au+1giSB55fwA+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BOLTb0AAADbAAAADwAAAAAAAAABACAAAAAiAAAAZHJzL2Rvd25yZXYueG1s&#10;UEsBAhQAFAAAAAgAh07iQDMvBZ47AAAAOQAAABUAAAAAAAAAAQAgAAAADAEAAGRycy9ncm91cHNo&#10;YXBleG1sLnhtbFBLBQYAAAAABgAGAGABAADJAwAAAAA=&#10;">
                  <o:lock v:ext="edit" aspectratio="f"/>
                  <v:roundrect id="Rounded Rectangle 114" o:spid="_x0000_s1026" o:spt="2" style="position:absolute;left:3255;top:13740;height:930;width:2430;" fillcolor="#FFFFFF" filled="t" stroked="t" coordsize="21600,21600" arcsize="0.166666666666667" o:gfxdata="UEsDBAoAAAAAAIdO4kAAAAAAAAAAAAAAAAAEAAAAZHJzL1BLAwQUAAAACACHTuJApdsC0rwAAADb&#10;AAAADwAAAGRycy9kb3ducmV2LnhtbEWPQWsCMRSE7wX/Q3hCbzWxxaKr0YNQ8Va69eDxuXnuLm5e&#10;1iS7Wn+9KQgeh5n5hlmsrrYRPflQO9YwHikQxIUzNZcadr9fb1MQISIbbByThj8KsFoOXhaYGXfh&#10;H+rzWIoE4ZChhirGNpMyFBVZDCPXEifv6LzFmKQvpfF4SXDbyHelPqXFmtNChS2tKypOeWc1FEZ1&#10;yu/779lhEvNb351Zbs5avw7Hag4i0jU+w4/21miYfMD/l/QD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XbAtK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roundrect>
                  <v:shape id="Quad Arrow 115" o:spid="_x0000_s1026" o:spt="202" type="#_x0000_t202" style="position:absolute;left:3458;top:13824;height:768;width:2115;" filled="f" stroked="f" coordsize="21600,21600" o:gfxdata="UEsDBAoAAAAAAIdO4kAAAAAAAAAAAAAAAAAEAAAAZHJzL1BLAwQUAAAACACHTuJAquI5Nb0AAADb&#10;AAAADwAAAGRycy9kb3ducmV2LnhtbEWPzWrDMBCE74G8g9hAbrGUEofGtZJDS6GnlCRtIbfFWv9Q&#10;a2Us1XbfvioEchxm5hsmP0y2FQP1vnGsYZ0oEMSFMw1XGj4ur6tHED4gG2wdk4Zf8nDYz2c5ZsaN&#10;fKLhHCoRIewz1FCH0GVS+qImiz5xHXH0StdbDFH2lTQ9jhFuW/mg1FZabDgu1NjRc03F9/nHavg8&#10;ltevjXqvXmzajW5Sku1Oar1crNUTiEBTuIdv7TejId3A/5f4A+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4jk1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szCs w:val="21"/>
                            </w:rPr>
                          </w:pPr>
                          <w:r>
                            <w:rPr>
                              <w:rFonts w:hint="eastAsia"/>
                              <w:szCs w:val="21"/>
                            </w:rPr>
                            <w:t>申请人取得审批结果，办结。</w:t>
                          </w:r>
                        </w:p>
                      </w:txbxContent>
                    </v:textbox>
                  </v:shape>
                </v:group>
                <v:shape id="Quad Arrow 119" o:spid="_x0000_s1026" o:spt="202" type="#_x0000_t202" style="position:absolute;left:7350;top:7848;height:1314;width:1302;" fillcolor="#FFFFFF" filled="t" stroked="t" coordsize="21600,21600" o:gfxdata="UEsDBAoAAAAAAIdO4kAAAAAAAAAAAAAAAAAEAAAAZHJzL1BLAwQUAAAACACHTuJAD4tb9r4AAADb&#10;AAAADwAAAGRycy9kb3ducmV2LnhtbEWPQWvCQBSE74X+h+UJXkrd2Npo02w8FBS9WSt6fWSfSTD7&#10;Nt1do/33rlDocZiZb5h8fjWt6Mn5xrKC8SgBQVxa3XClYPe9eJ6B8AFZY2uZFPySh3nx+JBjpu2F&#10;v6jfhkpECPsMFdQhdJmUvqzJoB/Zjjh6R+sMhihdJbXDS4SbVr4kSSoNNhwXauzos6bytD0bBbPJ&#10;qj/49etmX6bH9j08Tfvlj1NqOBgnHyACXcN/+K+90greUrh/iT9AFj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4tb9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sz w:val="18"/>
                            <w:szCs w:val="18"/>
                          </w:rPr>
                        </w:pPr>
                        <w:r>
                          <w:rPr>
                            <w:rFonts w:hint="eastAsia"/>
                            <w:sz w:val="18"/>
                            <w:szCs w:val="18"/>
                          </w:rPr>
                          <w:t>补正材料齐全，符合法定形式</w:t>
                        </w:r>
                      </w:p>
                    </w:txbxContent>
                  </v:textbox>
                </v:shape>
                <v:group id="Group 63" o:spid="_x0000_s1026" o:spt="203" style="position:absolute;left:3255;top:4655;height:689;width:5793;" coordorigin="3255,4655" coordsize="5793,689" o:gfxdata="UEsDBAoAAAAAAIdO4kAAAAAAAAAAAAAAAAAEAAAAZHJzL1BLAwQUAAAACACHTuJAxURH874AAADb&#10;AAAADwAAAGRycy9kb3ducmV2LnhtbEWPQWvCQBSE7wX/w/IKvdXNtlQkdQ0lWOlBhKogvT2yzyQk&#10;+zZk1yT++25B6HGYmW+YVTbZVgzU+9qxBjVPQBAXztRcajgdP5+XIHxANtg6Jg038pCtZw8rTI0b&#10;+ZuGQyhFhLBPUUMVQpdK6YuKLPq564ijd3G9xRBlX0rT4xjhtpUvSbKQFmuOCxV2lFdUNIer1bAd&#10;cfx4VZth11zy28/xbX/eKdL66VEl7yACTeE/fG9/GQ0LBX9f4g+Q61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VER/O+AAAA2wAAAA8AAAAAAAAAAQAgAAAAIgAAAGRycy9kb3ducmV2Lnht&#10;bFBLAQIUABQAAAAIAIdO4kAzLwWeOwAAADkAAAAVAAAAAAAAAAEAIAAAAA0BAABkcnMvZ3JvdXBz&#10;aGFwZXhtbC54bWxQSwUGAAAAAAYABgBgAQAAygMAAAAA&#10;">
                  <o:lock v:ext="edit" aspectratio="f"/>
                  <v:shape id="Straight Connector 56" o:spid="_x0000_s1026" o:spt="32" type="#_x0000_t32" style="position:absolute;left:6061;top:4655;height:278;width:1;" filled="f" stroked="t" coordsize="21600,21600" o:gfxdata="UEsDBAoAAAAAAIdO4kAAAAAAAAAAAAAAAAAEAAAAZHJzL1BLAwQUAAAACACHTuJAVcv31L0AAADb&#10;AAAADwAAAGRycy9kb3ducmV2LnhtbEWPQWvCQBSE7wX/w/IEL0V3I6S1qatIoaDHRqHXR/Y1Sc2+&#10;DdnVxPx6Vyj0OMzMN8x6O9hGXKnztWMNyUKBIC6cqbnUcDp+zlcgfEA22DgmDTfysN1MntaYGdfz&#10;F13zUIoIYZ+hhiqENpPSFxVZ9AvXEkfvx3UWQ5RdKU2HfYTbRi6VepEWa44LFbb0UVFxzi9WA/lL&#10;mqjdmy1Ph7F//l6Ov3171Ho2TdQ7iEBD+A//tfdGQ/oKjy/xB8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y/fU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Straight Connector 57" o:spid="_x0000_s1026" o:spt="32" type="#_x0000_t32" style="position:absolute;left:3255;top:4921;flip:y;height:12;width:5793;" filled="f" stroked="t" coordsize="21600,21600" o:gfxdata="UEsDBAoAAAAAAIdO4kAAAAAAAAAAAAAAAAAEAAAAZHJzL1BLAwQUAAAACACHTuJA6HbFL7gAAADb&#10;AAAADwAAAGRycy9kb3ducmV2LnhtbEVPy4rCMBTdC/5DuII7TRUfpWN0ISgupOBrf2nutJ1pbmoT&#10;W/17sxBcHs57tXmaSrTUuNKygsk4AkGcWV1yruB62Y1iEM4ja6wsk4IXOdis+70VJtp2fKL27HMR&#10;QtglqKDwvk6kdFlBBt3Y1sSB+7WNQR9gk0vdYBfCTSWnUbSQBksODQXWtC0o+z8/jII7L1+3mWzj&#10;vzT1i/3hmDOlnVLDwST6AeHp6b/ij/ugFczD2PAl/AC5f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HbFL7gAAADbAAAA&#10;DwAAAAAAAAABACAAAAAiAAAAZHJzL2Rvd25yZXYueG1sUEsBAhQAFAAAAAgAh07iQDMvBZ47AAAA&#10;OQAAABAAAAAAAAAAAQAgAAAABwEAAGRycy9zaGFwZXhtbC54bWxQSwUGAAAAAAYABgBbAQAAsQMA&#10;AAAA&#10;">
                    <v:fill on="f" focussize="0,0"/>
                    <v:stroke color="#000000" joinstyle="round"/>
                    <v:imagedata o:title=""/>
                    <o:lock v:ext="edit" aspectratio="f"/>
                  </v:shape>
                  <v:shape id="Straight Connector 58" o:spid="_x0000_s1026" o:spt="32" type="#_x0000_t32" style="position:absolute;left:3255;top:4933;height:402;width:0;" filled="f" stroked="t" coordsize="21600,21600" o:gfxdata="UEsDBAoAAAAAAIdO4kAAAAAAAAAAAAAAAAAEAAAAZHJzL1BLAwQUAAAACACHTuJAGNz5p74AAADb&#10;AAAADwAAAGRycy9kb3ducmV2LnhtbEWPT2sCMRTE74V+h/CE3mpWoYuuRsGKuJcW1FI8PjbPTXDz&#10;smziv376RhA8DjPzG2Y6v7pGnKkL1rOCQT8DQVx5bblW8LNbvY9AhIissfFMCm4UYD57fZliof2F&#10;N3TexlokCIcCFZgY20LKUBlyGPq+JU7ewXcOY5JdLXWHlwR3jRxmWS4dWk4LBlv6NFQdtyenIC73&#10;N5P/Voux/d6tv3L7V5blUqm33iCbgIh0jc/wo11qBR9juH9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Nz5p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Straight Connector 60" o:spid="_x0000_s1026" o:spt="32" type="#_x0000_t32" style="position:absolute;left:9048;top:4942;height:402;width:0;" filled="f" stroked="t" coordsize="21600,21600" o:gfxdata="UEsDBAoAAAAAAIdO4kAAAAAAAAAAAAAAAAAEAAAAZHJzL1BLAwQUAAAACACHTuJAR4qah7oAAADb&#10;AAAADwAAAGRycy9kb3ducmV2LnhtbEVPy4rCMBTdD/gP4QqzG1NdFK1GQUXsZgR1GFxemmsTbG5K&#10;E1/z9ZOF4PJw3rPFwzXiRl2wnhUMBxkI4spry7WCn+PmawwiRGSNjWdS8KQAi3nvY4aF9nfe0+0Q&#10;a5FCOBSowMTYFlKGypDDMPAtceLOvnMYE+xqqTu8p3DXyFGW5dKh5dRgsKWVoepyuDoFcX16mvy3&#10;Wk7s7rj9zu1fWZZrpT77w2wKItIjvsUvd6kV5Gl9+pJ+gJ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ipqH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group>
                <v:shape id="Straight Connector 67" o:spid="_x0000_s1026" o:spt="32" type="#_x0000_t32" style="position:absolute;left:9048;top:6156;height:396;width:0;" filled="f" stroked="t" coordsize="21600,21600" o:gfxdata="UEsDBAoAAAAAAIdO4kAAAAAAAAAAAAAAAAAEAAAAZHJzL1BLAwQUAAAACACHTuJA2BSha70AAADb&#10;AAAADwAAAGRycy9kb3ducmV2LnhtbEWPzWsCMRTE7wX/h/AEbzWrh8VujYKKuBcLfiA9Pjavm9DN&#10;y7KJn399Iwg9DjPzG2Y6v7lGXKgL1rOC0TADQVx5bblWcDys3ycgQkTW2HgmBXcKMJ/13qZYaH/l&#10;HV32sRYJwqFABSbGtpAyVIYchqFviZP34zuHMcmulrrDa4K7Ro6zLJcOLacFgy0tDVW/+7NTEFff&#10;d5OfqsWH/Tpstrl9lGW5UmrQH2WfICLd4n/41S61gnwMzy/pB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FKFr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Straight Connector 68" o:spid="_x0000_s1026" o:spt="32" type="#_x0000_t32" style="position:absolute;left:3255;top:6240;height:1776;width:0;" filled="f" stroked="t" coordsize="21600,21600" o:gfxdata="UEsDBAoAAAAAAIdO4kAAAAAAAAAAAAAAAAAEAAAAZHJzL1BLAwQUAAAACACHTuJA5Jw7ar0AAADb&#10;AAAADwAAAGRycy9kb3ducmV2LnhtbEWPQWvCQBSE74L/YXlCL6K7STHU6CqlUGiP1UCvj+wziWbf&#10;huxqUn99t1DwOMzMN8x2P9pW3Kj3jWMNyVKBIC6dabjSUBzfFy8gfEA22DomDT/kYb+bTraYGzfw&#10;F90OoRIRwj5HDXUIXS6lL2uy6JeuI47eyfUWQ5R9JU2PQ4TbVqZKZdJiw3Ghxo7eaiovh6vVQP66&#10;StTr2lbF532Yf6f389AdtX6aJWoDItAYHuH/9ofRkD3D35f4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nDtq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Straight Connector 72" o:spid="_x0000_s1026" o:spt="32" type="#_x0000_t32" style="position:absolute;left:6381;top:8352;flip:x;height:0;width:966;" filled="f" stroked="t" coordsize="21600,21600" o:gfxdata="UEsDBAoAAAAAAIdO4kAAAAAAAAAAAAAAAAAEAAAAZHJzL1BLAwQUAAAACACHTuJArMDJKr8AAADb&#10;AAAADwAAAGRycy9kb3ducmV2LnhtbEWPQWvCQBSE70L/w/IKvUjdRNoQomsOrbZeijRN74/sMwlm&#10;34bsqsm/dwsFj8PMfMOs89F04kKDay0riBcRCOLK6pZrBeXP7jkF4Tyyxs4yKZjIQb55mK0x0/bK&#10;33QpfC0ChF2GChrv+0xKVzVk0C1sTxy8ox0M+iCHWuoBrwFuOrmMokQabDksNNjTW0PVqTgbBe/F&#10;4XX3Oy/H5VR9fhUf6enA01app8c4WoHwNPp7+L+91wqSF/j7En6A3N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AyS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Straight Connector 74" o:spid="_x0000_s1026" o:spt="32" type="#_x0000_t32" style="position:absolute;left:9795;top:7437;height:411;width:0;" filled="f" stroked="t" coordsize="21600,21600" o:gfxdata="UEsDBAoAAAAAAIdO4kAAAAAAAAAAAAAAAAAEAAAAZHJzL1BLAwQUAAAACACHTuJAV/05H78AAADb&#10;AAAADwAAAGRycy9kb3ducmV2LnhtbEWPzWrDMBCE74G8g9hAb4nsQE3rRjEkIdSXBpqE0ONibS1R&#10;a2UsNT99+qhQ6HGYmW+YRXV1nTjTEKxnBfksA0HceG25VXA8bKdPIEJE1th5JgU3ClAtx6MFltpf&#10;+J3O+9iKBOFQogITY19KGRpDDsPM98TJ+/SDw5jk0Eo94CXBXSfnWVZIh5bTgsGe1oaar/23UxA3&#10;HzdTnJrVs90dXt8K+1PX9Uaph0mevYCIdI3/4b92rRUUj/D7Jf0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9OR+/&#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Straight Connector 75" o:spid="_x0000_s1026" o:spt="32" type="#_x0000_t32" style="position:absolute;left:8146;top:7437;height:411;width:0;" filled="f" stroked="t" coordsize="21600,21600" o:gfxdata="UEsDBAoAAAAAAIdO4kAAAAAAAAAAAAAAAAAEAAAAZHJzL1BLAwQUAAAACACHTuJApy+naL4AAADb&#10;AAAADwAAAGRycy9kb3ducmV2LnhtbEWPzWsCMRTE7wX/h/AEbzWrh9BujUIVcS8t+IF4fGxeN6Gb&#10;l2UTv/rXNwWhx2FmfsPMFjffigv10QXWMBkXIIjrYBw3Gg779fMLiJiQDbaBScOdIizmg6cZliZc&#10;eUuXXWpEhnAsUYNNqSuljLUlj3EcOuLsfYXeY8qyb6Tp8ZrhvpXTolDSo+O8YLGjpaX6e3f2GtLq&#10;dLfqWL+/us/95kO5n6qqVlqPhpPiDUSiW/oPP9qV0aAU/H3JP0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y+na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id="Group 94" o:spid="_x0000_s1026" o:spt="203" style="position:absolute;left:2523;top:11749;height:1163;width:4057;" coordorigin="2523,11749" coordsize="4057,1163"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aspectratio="f"/>
                  <v:shape id="Straight Connector 98" o:spid="_x0000_s1026" o:spt="32" type="#_x0000_t32" style="position:absolute;left:2523;top:11749;height:330;width:1;" filled="f" stroked="t" coordsize="21600,21600" o:gfxdata="UEsDBAoAAAAAAIdO4kAAAAAAAAAAAAAAAAAEAAAAZHJzL1BLAwQUAAAACACHTuJAm6c9ab0AAADb&#10;AAAADwAAAGRycy9kb3ducmV2LnhtbEWPQWvCQBSE7wX/w/IEL8XsJlBrU1eRQsEe1UCvj+xrkpp9&#10;G7Jrov56Vyj0OMzMN8xqc7GtGKj3jWMNaaJAEJfONFxpKI6f8yUIH5ANto5Jw5U8bNaTpxXmxo28&#10;p+EQKhEh7HPUUIfQ5VL6siaLPnEdcfR+XG8xRNlX0vQ4RrhtZabUQlpsOC7U2NFHTeXpcLYayJ9f&#10;UrV9s1XxdRufv7Pb79gdtZ5NU/UOItAl/If/2jujYfEKjy/xB8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pz1p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Straight Connector 99" o:spid="_x0000_s1026" o:spt="32" type="#_x0000_t32" style="position:absolute;left:6579;top:11749;height:330;width:1;" filled="f" stroked="t" coordsize="21600,21600" o:gfxdata="UEsDBAoAAAAAAIdO4kAAAAAAAAAAAAAAAAAEAAAAZHJzL1BLAwQUAAAACACHTuJA6jipG7kAAADb&#10;AAAADwAAAGRycy9kb3ducmV2LnhtbEVPTYvCMBC9C/sfwizsRTSpoGhtKiII7lEteB2ase1uMylN&#10;tK6/fnMQPD7ed7Z52FbcqfeNYw3JVIEgLp1puNJQnPeTJQgfkA22jknDH3nY5B+jDFPjBj7S/RQq&#10;EUPYp6ihDqFLpfRlTRb91HXEkbu63mKIsK+k6XGI4baVM6UW0mLDsaHGjnY1lb+nm9VA/jZP1HZl&#10;q+L7OYwvs+fP0J21/vpM1BpEoEd4i1/ug9GwiGPjl/gDZP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o4qRu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Straight Connector 100" o:spid="_x0000_s1026" o:spt="32" type="#_x0000_t32" style="position:absolute;left:2525;top:12079;height:1;width:4055;" filled="f" stroked="t" coordsize="21600,21600" o:gfxdata="UEsDBAoAAAAAAIdO4kAAAAAAAAAAAAAAAAAEAAAAZHJzL1BLAwQUAAAACACHTuJAhXQMgLwAAADb&#10;AAAADwAAAGRycy9kb3ducmV2LnhtbEWPT4vCMBTE74LfIbwFL6JJBWXtNhURBPfoH9jro3m23W1e&#10;ShOt66c3guBxmJnfMNnqZhtxpc7XjjUkUwWCuHCm5lLD6bidfILwAdlg45g0/JOHVT4cZJga1/Oe&#10;rodQighhn6KGKoQ2ldIXFVn0U9cSR+/sOoshyq6UpsM+wm0jZ0otpMWa40KFLW0qKv4OF6uB/GWe&#10;qPXSlqfvez/+md1/+/ao9egjUV8gAt3CO/xq74yGxRKeX+IP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0DI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Straight Connector 106" o:spid="_x0000_s1026" o:spt="32" type="#_x0000_t32" style="position:absolute;left:4573;top:12080;height:832;width:1;" filled="f" stroked="t" coordsize="21600,21600" o:gfxdata="UEsDBAoAAAAAAIdO4kAAAAAAAAAAAAAAAAAEAAAAZHJzL1BLAwQUAAAACACHTuJAwlMMWrwAAADb&#10;AAAADwAAAGRycy9kb3ducmV2LnhtbEVPTWvCMBi+D/YfwjvYbab10Gk1FjaR9TJBHcPjS/PaBJs3&#10;pcn82K83B8Hjw/M9ry6uEycagvWsIB9lIIgbry23Cn52q7cJiBCRNXaeScGVAlSL56c5ltqfeUOn&#10;bWxFCuFQogITY19KGRpDDsPI98SJO/jBYUxwaKUe8JzCXSfHWVZIh5ZTg8GePg01x+2fUxCX+6sp&#10;fpuPqV3vvr4L+1/X9VKp15c8m4GIdIkP8d1dawXvaX36kn6A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TDFq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group>
            </w:pict>
          </mc:Fallback>
        </mc:AlternateContent>
      </w: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r>
        <w:rPr>
          <w:rFonts w:ascii="仿宋_GB2312" w:hAnsi="黑体" w:eastAsia="仿宋_GB2312" w:cs="黑体"/>
          <w:kern w:val="2"/>
          <w:sz w:val="30"/>
          <w:szCs w:val="30"/>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923925</wp:posOffset>
                </wp:positionH>
                <wp:positionV relativeFrom="paragraph">
                  <wp:posOffset>264160</wp:posOffset>
                </wp:positionV>
                <wp:extent cx="203835" cy="635"/>
                <wp:effectExtent l="0" t="37465" r="5715" b="38100"/>
                <wp:wrapNone/>
                <wp:docPr id="6" name="Straight Connector 69"/>
                <wp:cNvGraphicFramePr/>
                <a:graphic xmlns:a="http://schemas.openxmlformats.org/drawingml/2006/main">
                  <a:graphicData uri="http://schemas.microsoft.com/office/word/2010/wordprocessingShape">
                    <wps:wsp>
                      <wps:cNvCnPr/>
                      <wps:spPr>
                        <a:xfrm>
                          <a:off x="0" y="0"/>
                          <a:ext cx="20383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Straight Connector 69" o:spid="_x0000_s1026" o:spt="32" type="#_x0000_t32" style="position:absolute;left:0pt;margin-left:72.75pt;margin-top:20.8pt;height:0.05pt;width:16.05pt;z-index:251663360;mso-width-relative:page;mso-height-relative:page;" filled="f" stroked="t" coordsize="21600,21600" o:gfxdata="UEsDBAoAAAAAAIdO4kAAAAAAAAAAAAAAAAAEAAAAZHJzL1BLAwQUAAAACACHTuJAGZZKKNgAAAAJ&#10;AQAADwAAAGRycy9kb3ducmV2LnhtbE2PzU7DMBCE70i8g7VI3KgT1CYQ4lSCCpELlWgR4ugmS2wR&#10;r6PY/ePp2ZzgtrM7mv2mXJ5cLw44ButJQTpLQCA1vrXUKXjfPt/cgQhRU6t7T6jgjAGW1eVFqYvW&#10;H+kND5vYCQ6hUGgFJsahkDI0Bp0OMz8g8e3Lj05HlmMn21EfOdz18jZJMum0Jf5g9IBPBpvvzd4p&#10;iKvPs8k+msd7u96+vGb2p67rlVLXV2nyACLiKf6ZYcJndKiYaef31AbRs54vFmxVME8zEJMhz3nY&#10;TYscZFXK/w2qX1BLAwQUAAAACACHTuJAv11m89ABAACvAwAADgAAAGRycy9lMm9Eb2MueG1srVNN&#10;b9swDL0P2H8QdF+cpGjQGnF6SNpdhi1A1x/A6MMWoC9QWpz8+1GKl3Ybdhnqg0yK5BPfE7V+ODnL&#10;jgqTCb7ji9mcM+VFkMb3HX/5/vTpjrOUwUuwwauOn1XiD5uPH9ZjbNUyDMFKhYxAfGrH2PEh59g2&#10;TRKDcpBmISpPQR3QQSYX+0YijITubLOcz1fNGFBGDEKlRLu7S5BvKr7WSuRvWieVme049ZbrinU9&#10;lLXZrKHtEeJgxNQG/EcXDoynQ69QO8jAfqD5C8oZgSEFnWciuCZobYSqHIjNYv4Hm+cBoqpcSJwU&#10;rzKl94MVX497ZEZ2fMWZB0dX9JwRTD9ktg3ek4AB2eq+CDXG1FL+1u9x8lLcY2F90ujKn/iwUxX3&#10;fBVXnTITtLmc39zd3HImKLQigyCa18qIKX9WwbFidDxNPVxbWFR14fgl5Uvhr4JyrPVs7Pj97bLA&#10;A02RtpDJdJF4Jd/X2hSskU/G2lKRsD9sLbIjlLmo39TQb2nlkB2k4ZJXQyUN2kGBfPSS5XMkxTyN&#10;Ni8tOCU5s4peQrFqZgZjXzMzGvC9/Uc26WF9gVd1cieuRfaL0MU6BHmu+jfFo6moMk4TXMburU/2&#10;23e2+Q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Zlkoo2AAAAAkBAAAPAAAAAAAAAAEAIAAAACIA&#10;AABkcnMvZG93bnJldi54bWxQSwECFAAUAAAACACHTuJAv11m89ABAACvAwAADgAAAAAAAAABACAA&#10;AAAnAQAAZHJzL2Uyb0RvYy54bWxQSwUGAAAAAAYABgBZAQAAaQUAAAAA&#10;">
                <v:fill on="f" focussize="0,0"/>
                <v:stroke color="#000000" joinstyle="round" endarrow="block"/>
                <v:imagedata o:title=""/>
                <o:lock v:ext="edit" aspectratio="f"/>
              </v:shape>
            </w:pict>
          </mc:Fallback>
        </mc:AlternateContent>
      </w: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r>
        <w:rPr>
          <w:rFonts w:ascii="仿宋_GB2312" w:hAnsi="黑体" w:eastAsia="仿宋_GB2312" w:cs="黑体"/>
          <w:kern w:val="2"/>
          <w:sz w:val="30"/>
          <w:szCs w:val="30"/>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5191125</wp:posOffset>
                </wp:positionH>
                <wp:positionV relativeFrom="paragraph">
                  <wp:posOffset>280670</wp:posOffset>
                </wp:positionV>
                <wp:extent cx="635" cy="386715"/>
                <wp:effectExtent l="37465" t="0" r="38100" b="13335"/>
                <wp:wrapNone/>
                <wp:docPr id="7" name="Straight Connector 73"/>
                <wp:cNvGraphicFramePr/>
                <a:graphic xmlns:a="http://schemas.openxmlformats.org/drawingml/2006/main">
                  <a:graphicData uri="http://schemas.microsoft.com/office/word/2010/wordprocessingShape">
                    <wps:wsp>
                      <wps:cNvCnPr/>
                      <wps:spPr>
                        <a:xfrm>
                          <a:off x="0" y="0"/>
                          <a:ext cx="635" cy="38671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Straight Connector 73" o:spid="_x0000_s1026" o:spt="32" type="#_x0000_t32" style="position:absolute;left:0pt;margin-left:408.75pt;margin-top:22.1pt;height:30.45pt;width:0.05pt;z-index:251664384;mso-width-relative:page;mso-height-relative:page;" filled="f" stroked="t" coordsize="21600,21600" o:gfxdata="UEsDBAoAAAAAAIdO4kAAAAAAAAAAAAAAAAAEAAAAZHJzL1BLAwQUAAAACACHTuJAyruiHtoAAAAK&#10;AQAADwAAAGRycy9kb3ducmV2LnhtbE2PTU/DMAyG70j8h8hI3FjSaSujNJ0EE6IXJrEhxDFrTBvR&#10;OFWTffHrMSc42n70+nnL5cn34oBjdIE0ZBMFAqkJ1lGr4W37dLMAEZMha/pAqOGMEZbV5UVpChuO&#10;9IqHTWoFh1AsjIYupaGQMjYdehMnYUDi22cYvUk8jq20ozlyuO/lVKlceuOIP3RmwMcOm6/N3mtI&#10;q49zl783D3duvX1+yd13Xdcrra+vMnUPIuEp/cHwq8/qULHTLuzJRtFrWGS3c0Y1zGZTEAzwIgex&#10;Y1LNM5BVKf9XqH4AUEsDBBQAAAAIAIdO4kCXuJcL0QEAAK8DAAAOAAAAZHJzL2Uyb0RvYy54bWyt&#10;U01v2zAMvQ/YfxB0X5wPJOmMOD0k7S7FFqDbD2Ak2RagL1BanPz7UoqXdh12GeaDTErkI98Ttbk/&#10;W8NOCqP2ruGzyZQz5YSX2nUN//H98dMdZzGBk2C8Uw2/qMjvtx8/bIZQq7nvvZEKGYG4WA+h4X1K&#10;oa6qKHplIU58UI4OW48WErnYVRJhIHRrqvl0uqoGjzKgFypG2t1fD/m24LetEulb20aVmGk49ZbK&#10;imU95rXabqDuEEKvxdgG/EMXFrSjojeoPSRgP1H/AWW1QB99mybC28q3rRaqcCA2s+k7Ns89BFW4&#10;kDgx3GSK/w9WfD0dkGnZ8DVnDixd0XNC0F2f2M47RwJ6ZOtFFmoIsab4nTvg6MVwwMz63KLNf+LD&#10;zkXcy01cdU5M0OZqseRM0P7ibrWeLTNg9ZoZMKYvyluWjYbHsYdbC7OiLpyeYrom/krIZY1jQ8M/&#10;L+e5AtAUtQYSmTYQr+i6khu90fJRG5MzInbHnUF2gjwX5Rsb+i0sF9lD7K9x5SiHQd0rkA9OsnQJ&#10;pJij0ea5BaskZ0bRS8hWiUygzWtkQg2uM3+JJj2My/CqTO7INct+FTpbRy8vRf8qezQVRcZxgvPY&#10;vfXJfvvOt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Ku6Ie2gAAAAoBAAAPAAAAAAAAAAEAIAAA&#10;ACIAAABkcnMvZG93bnJldi54bWxQSwECFAAUAAAACACHTuJAl7iXC9EBAACvAwAADgAAAAAAAAAB&#10;ACAAAAApAQAAZHJzL2Uyb0RvYy54bWxQSwUGAAAAAAYABgBZAQAAbAUAAAAA&#10;">
                <v:fill on="f" focussize="0,0"/>
                <v:stroke color="#000000" joinstyle="round" endarrow="block"/>
                <v:imagedata o:title=""/>
                <o:lock v:ext="edit" aspectratio="f"/>
              </v:shape>
            </w:pict>
          </mc:Fallback>
        </mc:AlternateContent>
      </w:r>
    </w:p>
    <w:p>
      <w:pPr>
        <w:spacing w:line="560" w:lineRule="exact"/>
        <w:rPr>
          <w:rFonts w:ascii="仿宋_GB2312" w:hAnsi="黑体" w:eastAsia="仿宋_GB2312"/>
          <w:sz w:val="30"/>
          <w:szCs w:val="30"/>
        </w:rPr>
      </w:pPr>
      <w:r>
        <w:rPr>
          <w:rFonts w:ascii="仿宋_GB2312" w:hAnsi="黑体" w:eastAsia="仿宋_GB2312" w:cs="黑体"/>
          <w:kern w:val="2"/>
          <w:sz w:val="30"/>
          <w:szCs w:val="30"/>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4667250</wp:posOffset>
                </wp:positionH>
                <wp:positionV relativeFrom="paragraph">
                  <wp:posOffset>311785</wp:posOffset>
                </wp:positionV>
                <wp:extent cx="1163955" cy="882015"/>
                <wp:effectExtent l="4445" t="5080" r="12700" b="8255"/>
                <wp:wrapNone/>
                <wp:docPr id="4" name="Quad Arrow 121"/>
                <wp:cNvGraphicFramePr/>
                <a:graphic xmlns:a="http://schemas.openxmlformats.org/drawingml/2006/main">
                  <a:graphicData uri="http://schemas.microsoft.com/office/word/2010/wordprocessingShape">
                    <wps:wsp>
                      <wps:cNvSpPr txBox="1"/>
                      <wps:spPr>
                        <a:xfrm>
                          <a:off x="0" y="0"/>
                          <a:ext cx="1163955" cy="882015"/>
                        </a:xfrm>
                        <a:prstGeom prst="rect">
                          <a:avLst/>
                        </a:prstGeom>
                        <a:noFill/>
                        <a:ln w="9525" cap="flat" cmpd="sng">
                          <a:solidFill>
                            <a:srgbClr val="000000"/>
                          </a:solidFill>
                          <a:prstDash val="solid"/>
                          <a:miter/>
                          <a:headEnd type="none" w="med" len="med"/>
                          <a:tailEnd type="none" w="med" len="med"/>
                        </a:ln>
                        <a:effectLst/>
                      </wps:spPr>
                      <wps:txbx>
                        <w:txbxContent>
                          <w:p>
                            <w:pPr>
                              <w:rPr>
                                <w:sz w:val="18"/>
                                <w:szCs w:val="18"/>
                              </w:rPr>
                            </w:pPr>
                            <w:r>
                              <w:rPr>
                                <w:rFonts w:hint="eastAsia"/>
                                <w:sz w:val="18"/>
                                <w:szCs w:val="18"/>
                              </w:rPr>
                              <w:t>不予受理，并向申请人发出《不予受理</w:t>
                            </w:r>
                            <w:r>
                              <w:rPr>
                                <w:rFonts w:hint="eastAsia"/>
                                <w:sz w:val="18"/>
                                <w:szCs w:val="18"/>
                                <w:lang w:val="en-US" w:eastAsia="zh-CN"/>
                              </w:rPr>
                              <w:t>行政许可决定书</w:t>
                            </w:r>
                            <w:r>
                              <w:rPr>
                                <w:rFonts w:hint="eastAsia"/>
                                <w:sz w:val="18"/>
                                <w:szCs w:val="18"/>
                              </w:rPr>
                              <w:t>》，退回申请资料。</w:t>
                            </w:r>
                          </w:p>
                        </w:txbxContent>
                      </wps:txbx>
                      <wps:bodyPr vert="horz" anchor="t" anchorCtr="0" upright="1"/>
                    </wps:wsp>
                  </a:graphicData>
                </a:graphic>
              </wp:anchor>
            </w:drawing>
          </mc:Choice>
          <mc:Fallback>
            <w:pict>
              <v:shape id="Quad Arrow 121" o:spid="_x0000_s1026" o:spt="202" type="#_x0000_t202" style="position:absolute;left:0pt;margin-left:367.5pt;margin-top:24.55pt;height:69.45pt;width:91.65pt;z-index:251661312;mso-width-relative:page;mso-height-relative:page;" filled="f" stroked="t" coordsize="21600,21600" o:gfxdata="UEsDBAoAAAAAAIdO4kAAAAAAAAAAAAAAAAAEAAAAZHJzL1BLAwQUAAAACACHTuJAUBIERdcAAAAK&#10;AQAADwAAAGRycy9kb3ducmV2LnhtbE2Py07DMBBF90j8gzVI7KidBsijcbqgsIdQ6NaJp0mEH1Hs&#10;PuDrGVZlOZozd86t1mdr2BHnMHonIVkIYOg6r0fXS9i+v9zlwEJUTivjHUr4xgDr+vqqUqX2J/eG&#10;xyb2jEJcKJWEIcap5Dx0A1oVFn5CR7u9n62KNM4917M6Ubg1fCnEI7dqdPRhUBM+Ddh9NQdLGsvd&#10;Nt28Nphlqk03zz8fxf7TSHl7k4gVsIjneIHhT59uoCan1h+cDsxIyNIH6hIl3BcJMAKKJE+BtUTm&#10;uQBeV/x/hfoXUEsDBBQAAAAIAIdO4kBxV4nH+QEAAPUDAAAOAAAAZHJzL2Uyb0RvYy54bWytU02P&#10;0zAQvSPxHyzfadpCV92o6Qq2LBcEi3b5AVPbSSz5S7bbpPx6ZpxuWeCyQuTgjD1vnmfejDc3ozXs&#10;qGLS3jV8MZtzppzwUruu4d8f796sOUsZnATjnWr4SSV+s339ajOEWi19741UkSGJS/UQGt7nHOqq&#10;SqJXFtLMB+XQ2fpoIeM2dpWMMCC7NdVyPr+qBh9liF6olPB0Nzn5tvC3rRL5a9smlZlpOOaWyxrL&#10;uqe12m6g7iKEXotzGvAPWVjQDi+9UO0gAztE/ReV1SL65Ns8E95Wvm21UKUGrGYx/6Oahx6CKrWg&#10;OClcZEr/j1Z8Od5HpmXD33HmwGKLvh1Asvcx+oEtlgtSaAipRuBDQGgeP/gRO/10nvCQCh/baOmP&#10;JTH0o9ani75qzExQ0OLq7fVqxZlA33qNFa+IpvoVHWLKn5S3jIyGR+xfkRWOn1OeoE8Qusz5O21M&#10;6aFxbGj49WpJ9ICT1BrIaNqAtSXXFZrkjZYUQsEpdvtbE9kRaDbKd87mNxjdt4PUT7jiIhjUVmcV&#10;i9UrkB+dZPkUUD+Hg84pGaskZ0bhuyCrIDNo8xIkSmIcXaLKDJ+Lpz5MepOVx/2IpGTuvTxhb/Ad&#10;omi9jz84AyfQaDhqMJm3eRr7Q4i66xFXWlhROM5W6cL5HdDwPt+j/fy1bn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BIERdcAAAAKAQAADwAAAAAAAAABACAAAAAiAAAAZHJzL2Rvd25yZXYueG1s&#10;UEsBAhQAFAAAAAgAh07iQHFXicf5AQAA9QMAAA4AAAAAAAAAAQAgAAAAJgEAAGRycy9lMm9Eb2Mu&#10;eG1sUEsFBgAAAAAGAAYAWQEAAJEFAAAAAA==&#10;">
                <v:fill on="f" focussize="0,0"/>
                <v:stroke color="#000000" joinstyle="miter"/>
                <v:imagedata o:title=""/>
                <o:lock v:ext="edit" aspectratio="f"/>
                <v:textbox>
                  <w:txbxContent>
                    <w:p>
                      <w:pPr>
                        <w:rPr>
                          <w:sz w:val="18"/>
                          <w:szCs w:val="18"/>
                        </w:rPr>
                      </w:pPr>
                      <w:r>
                        <w:rPr>
                          <w:rFonts w:hint="eastAsia"/>
                          <w:sz w:val="18"/>
                          <w:szCs w:val="18"/>
                        </w:rPr>
                        <w:t>不予受理，并向申请人发出《不予受理</w:t>
                      </w:r>
                      <w:r>
                        <w:rPr>
                          <w:rFonts w:hint="eastAsia"/>
                          <w:sz w:val="18"/>
                          <w:szCs w:val="18"/>
                          <w:lang w:val="en-US" w:eastAsia="zh-CN"/>
                        </w:rPr>
                        <w:t>行政许可决定书</w:t>
                      </w:r>
                      <w:r>
                        <w:rPr>
                          <w:rFonts w:hint="eastAsia"/>
                          <w:sz w:val="18"/>
                          <w:szCs w:val="18"/>
                        </w:rPr>
                        <w:t>》，退回申请资料。</w:t>
                      </w:r>
                    </w:p>
                  </w:txbxContent>
                </v:textbox>
              </v:shape>
            </w:pict>
          </mc:Fallback>
        </mc:AlternateContent>
      </w: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r>
        <w:rPr>
          <w:rFonts w:ascii="方正小标宋简体" w:hAnsi="黑体" w:eastAsia="方正小标宋简体" w:cs="黑体"/>
          <w:kern w:val="2"/>
          <w:sz w:val="30"/>
          <w:szCs w:val="30"/>
          <w:lang w:val="en-US" w:eastAsia="zh-CN" w:bidi="ar-SA"/>
        </w:rPr>
        <mc:AlternateContent>
          <mc:Choice Requires="wpg">
            <w:drawing>
              <wp:anchor distT="0" distB="0" distL="114300" distR="114300" simplePos="0" relativeHeight="251660288" behindDoc="0" locked="0" layoutInCell="1" allowOverlap="1">
                <wp:simplePos x="0" y="0"/>
                <wp:positionH relativeFrom="column">
                  <wp:posOffset>2305050</wp:posOffset>
                </wp:positionH>
                <wp:positionV relativeFrom="paragraph">
                  <wp:posOffset>316865</wp:posOffset>
                </wp:positionV>
                <wp:extent cx="1419225" cy="539115"/>
                <wp:effectExtent l="4445" t="4445" r="5080" b="8890"/>
                <wp:wrapNone/>
                <wp:docPr id="3" name="Group 80"/>
                <wp:cNvGraphicFramePr/>
                <a:graphic xmlns:a="http://schemas.openxmlformats.org/drawingml/2006/main">
                  <a:graphicData uri="http://schemas.microsoft.com/office/word/2010/wordprocessingGroup">
                    <wpg:wgp>
                      <wpg:cNvGrpSpPr/>
                      <wpg:grpSpPr>
                        <a:xfrm>
                          <a:off x="0" y="0"/>
                          <a:ext cx="1419225" cy="539115"/>
                          <a:chOff x="5430" y="10899"/>
                          <a:chExt cx="2235" cy="849"/>
                        </a:xfrm>
                        <a:effectLst/>
                      </wpg:grpSpPr>
                      <wps:wsp>
                        <wps:cNvPr id="1" name="Rectangle 93"/>
                        <wps:cNvSpPr/>
                        <wps:spPr>
                          <a:xfrm>
                            <a:off x="5430" y="10899"/>
                            <a:ext cx="2235" cy="849"/>
                          </a:xfrm>
                          <a:prstGeom prst="rect">
                            <a:avLst/>
                          </a:prstGeom>
                          <a:noFill/>
                          <a:ln w="9525" cap="flat" cmpd="sng">
                            <a:solidFill>
                              <a:srgbClr val="000000"/>
                            </a:solidFill>
                            <a:prstDash val="solid"/>
                            <a:miter/>
                            <a:headEnd type="none" w="med" len="med"/>
                            <a:tailEnd type="none" w="med" len="med"/>
                          </a:ln>
                          <a:effectLst/>
                        </wps:spPr>
                        <wps:bodyPr vert="horz" anchor="t" anchorCtr="0" upright="1"/>
                      </wps:wsp>
                      <wps:wsp>
                        <wps:cNvPr id="2" name="Quad Arrow 95"/>
                        <wps:cNvSpPr txBox="1"/>
                        <wps:spPr>
                          <a:xfrm>
                            <a:off x="5490" y="10968"/>
                            <a:ext cx="2115" cy="684"/>
                          </a:xfrm>
                          <a:prstGeom prst="rect">
                            <a:avLst/>
                          </a:prstGeom>
                          <a:noFill/>
                          <a:ln>
                            <a:noFill/>
                          </a:ln>
                          <a:effectLst/>
                        </wps:spPr>
                        <wps:txbx>
                          <w:txbxContent>
                            <w:p>
                              <w:pPr>
                                <w:jc w:val="center"/>
                                <w:rPr>
                                  <w:sz w:val="18"/>
                                  <w:szCs w:val="18"/>
                                </w:rPr>
                              </w:pPr>
                              <w:r>
                                <w:rPr>
                                  <w:rFonts w:hint="eastAsia"/>
                                  <w:sz w:val="18"/>
                                  <w:szCs w:val="18"/>
                                </w:rPr>
                                <w:t>颁发不予行政许可决定书</w:t>
                              </w:r>
                            </w:p>
                          </w:txbxContent>
                        </wps:txbx>
                        <wps:bodyPr vert="horz" anchor="t" anchorCtr="0" upright="1"/>
                      </wps:wsp>
                    </wpg:wgp>
                  </a:graphicData>
                </a:graphic>
              </wp:anchor>
            </w:drawing>
          </mc:Choice>
          <mc:Fallback>
            <w:pict>
              <v:group id="Group 80" o:spid="_x0000_s1026" o:spt="203" style="position:absolute;left:0pt;margin-left:181.5pt;margin-top:24.95pt;height:42.45pt;width:111.75pt;z-index:251660288;mso-width-relative:page;mso-height-relative:page;" coordorigin="5430,10899" coordsize="2235,849" o:gfxdata="UEsDBAoAAAAAAIdO4kAAAAAAAAAAAAAAAAAEAAAAZHJzL1BLAwQUAAAACACHTuJA4rABc9oAAAAK&#10;AQAADwAAAGRycy9kb3ducmV2LnhtbE2PQUvDQBCF74L/YRnBm93ENCGN2RQp6qkItoJ422anSWh2&#10;NmS3SfvvHU96HObjve+V64vtxYSj7xwpiBcRCKTamY4aBZ/714cchA+ajO4doYIrelhXtzelLoyb&#10;6QOnXWgEh5AvtII2hKGQ0tctWu0XbkDi39GNVgc+x0aaUc8cbnv5GEWZtLojbmj1gJsW69PubBW8&#10;zXp+TuKXaXs6bq7f+/T9axujUvd3cfQEIuAl/MHwq8/qULHTwZ3JeNErSLKEtwQFy9UKBANpnqUg&#10;DkwmyxxkVcr/E6ofUEsDBBQAAAAIAIdO4kC8nEicmQIAAMMGAAAOAAAAZHJzL2Uyb0RvYy54bWy1&#10;VVtv0zAUfkfiP1h+Z2nSdmqiphPs9oJgMPgBruMklnyT7TYpv55jJ2m3MdA0oA+pYx+fy/d952R9&#10;0UuB9sw6rlWJ07MZRkxRXXHVlPj7t5t3K4ycJ6oiQitW4gNz+GLz9s26MwXLdKtFxSwCJ8oVnSlx&#10;670pksTRlknizrRhCg5rbSXx8GqbpLKkA+9SJNlsdp502lbGasqcg92r4RBvov+6ZtR/rmvHPBIl&#10;htx8fNr43IZnslmTorHEtJyOaZBXZCEJVxD06OqKeIJ2lv/iSnJqtdO1P6NaJrquOWWxBqgmnT2p&#10;5tbqnYm1NEXXmCNMAO0TnF7tln7a31nEqxLPMVJEAkUxKlpFbDrTFGBya829ubMAVthohrdQbl9b&#10;Gf6hENRHVA9HVFnvEYXNdJHmWbbEiMLZcp6n6XKAnbbATbi2XMyBGzhNZ6s8nw6vx/tZNh8vrxbx&#10;MDnFZZHij85Dasmj3DoDgnInzNzfYXbfEsMiFS4AMmKWTph9BaER1QiG8nnIP0QHsyNornCA3zOI&#10;PVf6BNyfCjfW+VumJQqLEluIH/VH9iMYpJhMQlSlb7gQUexCoa7E+TIyQqDlakE8kCMNiMCpJrpx&#10;WvAqXAmXnW22l8KiPQlNFH+hRqDhkVmId0VcO9jFo4FKyT2zMXbLSHWtKuQPBoSmYCLgkIxkFUaC&#10;wQAJq2jpCRcvsYQkhApJPlHCBHggYqurAxAGUwqQarX9gRFRFBYlhsKH5aUfhsLOWN60YJfGEkcV&#10;DYT+dzllk5y+7EiF3lurO5THZnmgJ+T7Dzq0VUgw7P9WWfnUVPn5akD1qKzQg7Efz1eLWOippSbZ&#10;vEZZj6T2Emp8v+3HMv4FS3EEwKSM4hynehjFD9/joDh9ezY/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OKwAXPaAAAACgEAAA8AAAAAAAAAAQAgAAAAIgAAAGRycy9kb3ducmV2LnhtbFBLAQIUABQA&#10;AAAIAIdO4kC8nEicmQIAAMMGAAAOAAAAAAAAAAEAIAAAACkBAABkcnMvZTJvRG9jLnhtbFBLBQYA&#10;AAAABgAGAFkBAAA0BgAAAAA=&#10;">
                <o:lock v:ext="edit" aspectratio="f"/>
                <v:rect id="Rectangle 93" o:spid="_x0000_s1026" o:spt="1" style="position:absolute;left:5430;top:10899;height:849;width:2235;" filled="f" stroked="t" coordsize="21600,21600" o:gfxdata="UEsDBAoAAAAAAIdO4kAAAAAAAAAAAAAAAAAEAAAAZHJzL1BLAwQUAAAACACHTuJAb3UKHLgAAADa&#10;AAAADwAAAGRycy9kb3ducmV2LnhtbEVPS4vCMBC+C/6HMII3TV1QpBpFZYU9CT5AvQ3NmBSbSWmy&#10;1v33G0HwNHx8z5kvn64SD2pC6VnBaJiBIC68LtkoOB23gymIEJE1Vp5JwR8FWC66nTnm2re8p8ch&#10;GpFCOOSowMZY51KGwpLDMPQ1ceJuvnEYE2yM1A22KdxV8ivLJtJhyanBYk0bS8X98OsUfNfX3Wps&#10;glydo73c/brd2p1Rqt8bZTMQkZ7xI367f3SaD69XXlcu/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3UKHLgAAADaAAAA&#10;DwAAAAAAAAABACAAAAAiAAAAZHJzL2Rvd25yZXYueG1sUEsBAhQAFAAAAAgAh07iQDMvBZ47AAAA&#10;OQAAABAAAAAAAAAAAQAgAAAABwEAAGRycy9zaGFwZXhtbC54bWxQSwUGAAAAAAYABgBbAQAAsQMA&#10;AAAA&#10;">
                  <v:fill on="f" focussize="0,0"/>
                  <v:stroke color="#000000" joinstyle="miter"/>
                  <v:imagedata o:title=""/>
                  <o:lock v:ext="edit" aspectratio="f"/>
                </v:rect>
                <v:shape id="Quad Arrow 95" o:spid="_x0000_s1026" o:spt="202" type="#_x0000_t202" style="position:absolute;left:5490;top:10968;height:684;width:2115;" filled="f" stroked="f" coordsize="21600,21600" o:gfxdata="UEsDBAoAAAAAAIdO4kAAAAAAAAAAAAAAAAAEAAAAZHJzL1BLAwQUAAAACACHTuJAc7hne7wAAADa&#10;AAAADwAAAGRycy9kb3ducmV2LnhtbEWPQWvCQBSE70L/w/IKvZndSCs1uvFQEXqqmLaCt0f2mYRm&#10;34bsNkn/vVsQPA4z8w2z2U62FQP1vnGsIU0UCOLSmYYrDV+f+/krCB+QDbaOScMfedjmD7MNZsaN&#10;fKShCJWIEPYZaqhD6DIpfVmTRZ+4jjh6F9dbDFH2lTQ9jhFuW7lQaiktNhwXauzorabyp/i1Gr4/&#10;LufTszpUO/vSjW5Sku1Kav30mKo1iEBTuIdv7XejYQH/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4Z3u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jc w:val="center"/>
                          <w:rPr>
                            <w:sz w:val="18"/>
                            <w:szCs w:val="18"/>
                          </w:rPr>
                        </w:pPr>
                        <w:r>
                          <w:rPr>
                            <w:rFonts w:hint="eastAsia"/>
                            <w:sz w:val="18"/>
                            <w:szCs w:val="18"/>
                          </w:rPr>
                          <w:t>颁发不予行政许可决定书</w:t>
                        </w:r>
                      </w:p>
                    </w:txbxContent>
                  </v:textbox>
                </v:shape>
              </v:group>
            </w:pict>
          </mc:Fallback>
        </mc:AlternateContent>
      </w: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jc w:val="center"/>
        <w:rPr>
          <w:rFonts w:ascii="方正小标宋_GBK" w:hAnsi="方正小标宋_GBK" w:eastAsia="方正小标宋_GBK"/>
          <w:sz w:val="36"/>
          <w:szCs w:val="36"/>
        </w:rPr>
      </w:pPr>
    </w:p>
    <w:p>
      <w:pPr>
        <w:spacing w:line="560" w:lineRule="exact"/>
        <w:rPr>
          <w:rFonts w:ascii="仿宋_GB2312" w:hAnsi="黑体" w:eastAsia="仿宋_GB2312"/>
          <w:sz w:val="30"/>
          <w:szCs w:val="30"/>
        </w:rPr>
      </w:pPr>
      <w:r>
        <w:rPr>
          <w:rFonts w:hint="eastAsia" w:ascii="仿宋_GB2312" w:hAnsi="黑体" w:eastAsia="仿宋_GB2312"/>
          <w:sz w:val="30"/>
          <w:szCs w:val="30"/>
        </w:rPr>
        <w:t>附录2</w:t>
      </w:r>
    </w:p>
    <w:p>
      <w:pPr>
        <w:spacing w:line="560" w:lineRule="exact"/>
        <w:jc w:val="center"/>
        <w:rPr>
          <w:rFonts w:ascii="方正小标宋_GBK" w:hAnsi="方正小标宋_GBK" w:eastAsia="方正小标宋_GBK"/>
          <w:sz w:val="36"/>
          <w:szCs w:val="36"/>
        </w:rPr>
      </w:pPr>
      <w:r>
        <w:rPr>
          <w:rFonts w:hint="eastAsia" w:ascii="方正小标宋_GBK" w:hAnsi="方正小标宋_GBK" w:eastAsia="方正小标宋_GBK"/>
          <w:sz w:val="36"/>
          <w:szCs w:val="36"/>
        </w:rPr>
        <w:t>申请材料示范文本</w:t>
      </w:r>
    </w:p>
    <w:p>
      <w:pPr>
        <w:widowControl/>
        <w:adjustRightInd w:val="0"/>
        <w:snapToGrid w:val="0"/>
        <w:spacing w:line="520" w:lineRule="atLeast"/>
        <w:rPr>
          <w:rFonts w:ascii="仿宋_GB2312" w:hAnsi="方正小标宋_GBK" w:eastAsia="仿宋_GB2312"/>
          <w:sz w:val="30"/>
          <w:szCs w:val="30"/>
        </w:rPr>
      </w:pPr>
      <w:r>
        <w:rPr>
          <w:rFonts w:hint="eastAsia" w:ascii="仿宋_GB2312" w:hAnsi="方正小标宋_GBK" w:eastAsia="仿宋_GB2312" w:cs="Times New Roman"/>
          <w:kern w:val="0"/>
          <w:sz w:val="30"/>
          <w:szCs w:val="30"/>
        </w:rPr>
        <w:t>1、申请表</w:t>
      </w:r>
    </w:p>
    <w:tbl>
      <w:tblPr>
        <w:tblStyle w:val="5"/>
        <w:tblW w:w="88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9"/>
        <w:gridCol w:w="462"/>
        <w:gridCol w:w="360"/>
        <w:gridCol w:w="734"/>
        <w:gridCol w:w="391"/>
        <w:gridCol w:w="747"/>
        <w:gridCol w:w="498"/>
        <w:gridCol w:w="579"/>
        <w:gridCol w:w="53"/>
        <w:gridCol w:w="204"/>
        <w:gridCol w:w="120"/>
        <w:gridCol w:w="99"/>
        <w:gridCol w:w="268"/>
        <w:gridCol w:w="447"/>
        <w:gridCol w:w="543"/>
        <w:gridCol w:w="6"/>
        <w:gridCol w:w="443"/>
        <w:gridCol w:w="210"/>
        <w:gridCol w:w="360"/>
        <w:gridCol w:w="121"/>
        <w:gridCol w:w="10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8898" w:type="dxa"/>
            <w:gridSpan w:val="21"/>
            <w:vAlign w:val="center"/>
          </w:tcPr>
          <w:p>
            <w:pPr>
              <w:autoSpaceDN w:val="0"/>
              <w:jc w:val="center"/>
              <w:textAlignment w:val="center"/>
              <w:rPr>
                <w:rFonts w:ascii="方正小标宋_GBK" w:hAnsi="方正小标宋_GBK" w:eastAsia="方正小标宋_GBK"/>
                <w:color w:val="000000"/>
                <w:sz w:val="32"/>
              </w:rPr>
            </w:pPr>
            <w:r>
              <w:rPr>
                <w:rFonts w:ascii="方正小标宋_GBK" w:hAnsi="方正小标宋_GBK" w:eastAsia="方正小标宋_GBK"/>
                <w:color w:val="000000"/>
                <w:sz w:val="36"/>
                <w:szCs w:val="36"/>
              </w:rPr>
              <w:t>国库集中收付代理银行资格认定申请表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98" w:type="dxa"/>
            <w:gridSpan w:val="21"/>
            <w:vAlign w:val="center"/>
          </w:tcPr>
          <w:p>
            <w:pPr>
              <w:autoSpaceDN w:val="0"/>
              <w:jc w:val="center"/>
              <w:textAlignment w:val="center"/>
              <w:rPr>
                <w:rFonts w:ascii="宋体" w:hAnsi="宋体"/>
                <w:color w:val="000000"/>
                <w:sz w:val="24"/>
              </w:rPr>
            </w:pPr>
            <w:r>
              <w:rPr>
                <w:rFonts w:ascii="宋体" w:hAnsi="宋体"/>
                <w:color w:val="000000"/>
                <w:sz w:val="24"/>
              </w:rPr>
              <w:t>申请日期：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061" w:type="dxa"/>
            <w:gridSpan w:val="3"/>
            <w:tcBorders>
              <w:top w:val="single" w:color="000000" w:sz="4" w:space="0"/>
              <w:left w:val="single" w:color="000000" w:sz="4" w:space="0"/>
            </w:tcBorders>
            <w:vAlign w:val="center"/>
          </w:tcPr>
          <w:p>
            <w:pPr>
              <w:autoSpaceDN w:val="0"/>
              <w:jc w:val="left"/>
              <w:textAlignment w:val="center"/>
              <w:rPr>
                <w:rFonts w:ascii="宋体" w:hAnsi="宋体"/>
                <w:color w:val="000000"/>
                <w:sz w:val="24"/>
              </w:rPr>
            </w:pPr>
            <w:r>
              <w:rPr>
                <w:rFonts w:ascii="宋体" w:hAnsi="宋体"/>
                <w:color w:val="000000"/>
                <w:sz w:val="24"/>
              </w:rPr>
              <w:t>申请机构全称</w:t>
            </w:r>
          </w:p>
        </w:tc>
        <w:tc>
          <w:tcPr>
            <w:tcW w:w="3425" w:type="dxa"/>
            <w:gridSpan w:val="9"/>
            <w:tcBorders>
              <w:top w:val="single" w:color="000000" w:sz="4" w:space="0"/>
              <w:left w:val="single" w:color="000000" w:sz="4" w:space="0"/>
              <w:right w:val="single" w:color="auto" w:sz="4" w:space="0"/>
            </w:tcBorders>
            <w:vAlign w:val="center"/>
          </w:tcPr>
          <w:p>
            <w:pPr>
              <w:autoSpaceDN w:val="0"/>
              <w:jc w:val="left"/>
              <w:textAlignment w:val="center"/>
              <w:rPr>
                <w:rFonts w:ascii="宋体" w:hAnsi="宋体"/>
                <w:color w:val="000000"/>
                <w:sz w:val="24"/>
              </w:rPr>
            </w:pPr>
          </w:p>
        </w:tc>
        <w:tc>
          <w:tcPr>
            <w:tcW w:w="1707" w:type="dxa"/>
            <w:gridSpan w:val="5"/>
            <w:tcBorders>
              <w:top w:val="single" w:color="000000" w:sz="4" w:space="0"/>
              <w:left w:val="single" w:color="000000" w:sz="4" w:space="0"/>
              <w:right w:val="single" w:color="auto" w:sz="4" w:space="0"/>
            </w:tcBorders>
            <w:vAlign w:val="center"/>
          </w:tcPr>
          <w:p>
            <w:pPr>
              <w:autoSpaceDN w:val="0"/>
              <w:jc w:val="left"/>
              <w:textAlignment w:val="center"/>
              <w:rPr>
                <w:rFonts w:ascii="宋体" w:hAnsi="宋体"/>
                <w:color w:val="000000"/>
                <w:sz w:val="24"/>
              </w:rPr>
            </w:pPr>
            <w:r>
              <w:rPr>
                <w:rFonts w:hint="eastAsia" w:ascii="宋体" w:hAnsi="宋体"/>
                <w:color w:val="000000"/>
                <w:sz w:val="24"/>
              </w:rPr>
              <w:t>机构行政级别</w:t>
            </w:r>
          </w:p>
        </w:tc>
        <w:tc>
          <w:tcPr>
            <w:tcW w:w="1705" w:type="dxa"/>
            <w:gridSpan w:val="4"/>
            <w:tcBorders>
              <w:top w:val="single" w:color="000000" w:sz="4" w:space="0"/>
              <w:left w:val="single" w:color="auto" w:sz="4" w:space="0"/>
              <w:right w:val="single" w:color="000000" w:sz="4" w:space="0"/>
            </w:tcBorders>
            <w:vAlign w:val="center"/>
          </w:tcPr>
          <w:p>
            <w:pPr>
              <w:autoSpaceDN w:val="0"/>
              <w:jc w:val="left"/>
              <w:textAlignment w:val="center"/>
              <w:rPr>
                <w:rFonts w:ascii="宋体" w:hAnsi="宋体"/>
                <w:color w:val="000000"/>
                <w:sz w:val="18"/>
                <w:szCs w:val="18"/>
              </w:rPr>
            </w:pPr>
            <w:r>
              <w:rPr>
                <w:rFonts w:hint="eastAsia" w:ascii="宋体" w:hAnsi="宋体"/>
                <w:color w:val="000000"/>
                <w:sz w:val="18"/>
                <w:szCs w:val="18"/>
              </w:rPr>
              <w:t>（如：省一级分行）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2061" w:type="dxa"/>
            <w:gridSpan w:val="3"/>
            <w:tcBorders>
              <w:top w:val="single" w:color="000000" w:sz="4" w:space="0"/>
              <w:left w:val="single" w:color="000000" w:sz="4" w:space="0"/>
              <w:bottom w:val="single" w:color="auto" w:sz="4" w:space="0"/>
              <w:right w:val="single" w:color="000000" w:sz="4" w:space="0"/>
            </w:tcBorders>
            <w:vAlign w:val="center"/>
          </w:tcPr>
          <w:p>
            <w:pPr>
              <w:autoSpaceDN w:val="0"/>
              <w:jc w:val="left"/>
              <w:textAlignment w:val="center"/>
              <w:rPr>
                <w:rFonts w:ascii="宋体" w:hAnsi="宋体"/>
                <w:color w:val="000000"/>
                <w:sz w:val="24"/>
              </w:rPr>
            </w:pPr>
            <w:r>
              <w:rPr>
                <w:rFonts w:ascii="宋体" w:hAnsi="宋体"/>
                <w:color w:val="000000"/>
                <w:sz w:val="24"/>
              </w:rPr>
              <w:t>法定代表人</w:t>
            </w:r>
          </w:p>
          <w:p>
            <w:pPr>
              <w:autoSpaceDN w:val="0"/>
              <w:jc w:val="left"/>
              <w:textAlignment w:val="center"/>
              <w:rPr>
                <w:rFonts w:ascii="宋体" w:hAnsi="宋体"/>
                <w:color w:val="000000"/>
                <w:sz w:val="24"/>
              </w:rPr>
            </w:pPr>
            <w:r>
              <w:rPr>
                <w:rFonts w:ascii="宋体" w:hAnsi="宋体"/>
                <w:color w:val="000000"/>
                <w:sz w:val="24"/>
              </w:rPr>
              <w:t>（主要负责人）</w:t>
            </w:r>
          </w:p>
        </w:tc>
        <w:tc>
          <w:tcPr>
            <w:tcW w:w="3425" w:type="dxa"/>
            <w:gridSpan w:val="9"/>
            <w:tcBorders>
              <w:top w:val="single" w:color="000000" w:sz="4" w:space="0"/>
              <w:left w:val="single" w:color="000000" w:sz="4" w:space="0"/>
              <w:bottom w:val="single" w:color="auto" w:sz="4" w:space="0"/>
              <w:right w:val="single" w:color="000000" w:sz="4" w:space="0"/>
            </w:tcBorders>
            <w:vAlign w:val="center"/>
          </w:tcPr>
          <w:p>
            <w:pPr>
              <w:autoSpaceDN w:val="0"/>
              <w:jc w:val="left"/>
              <w:textAlignment w:val="center"/>
              <w:rPr>
                <w:rFonts w:ascii="宋体" w:hAnsi="宋体"/>
                <w:color w:val="000000"/>
                <w:sz w:val="24"/>
              </w:rPr>
            </w:pPr>
          </w:p>
        </w:tc>
        <w:tc>
          <w:tcPr>
            <w:tcW w:w="1707" w:type="dxa"/>
            <w:gridSpan w:val="5"/>
            <w:tcBorders>
              <w:top w:val="single" w:color="000000" w:sz="4" w:space="0"/>
              <w:left w:val="single" w:color="000000" w:sz="4" w:space="0"/>
              <w:bottom w:val="single" w:color="auto" w:sz="4" w:space="0"/>
              <w:right w:val="single" w:color="000000" w:sz="4" w:space="0"/>
            </w:tcBorders>
            <w:vAlign w:val="center"/>
          </w:tcPr>
          <w:p>
            <w:pPr>
              <w:autoSpaceDN w:val="0"/>
              <w:jc w:val="left"/>
              <w:textAlignment w:val="center"/>
              <w:rPr>
                <w:rFonts w:ascii="宋体" w:hAnsi="宋体"/>
                <w:color w:val="000000"/>
                <w:sz w:val="24"/>
              </w:rPr>
            </w:pPr>
            <w:r>
              <w:rPr>
                <w:rFonts w:ascii="宋体" w:hAnsi="宋体"/>
                <w:color w:val="000000"/>
                <w:sz w:val="24"/>
              </w:rPr>
              <w:t>联系电话</w:t>
            </w:r>
          </w:p>
        </w:tc>
        <w:tc>
          <w:tcPr>
            <w:tcW w:w="1705" w:type="dxa"/>
            <w:gridSpan w:val="4"/>
            <w:tcBorders>
              <w:top w:val="single" w:color="000000" w:sz="4" w:space="0"/>
              <w:left w:val="single" w:color="000000" w:sz="4" w:space="0"/>
              <w:bottom w:val="single" w:color="auto" w:sz="4" w:space="0"/>
              <w:right w:val="single" w:color="000000" w:sz="4" w:space="0"/>
            </w:tcBorders>
            <w:vAlign w:val="center"/>
          </w:tcPr>
          <w:p>
            <w:pPr>
              <w:autoSpaceDN w:val="0"/>
              <w:jc w:val="left"/>
              <w:textAlignment w:val="center"/>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2061" w:type="dxa"/>
            <w:gridSpan w:val="3"/>
            <w:tcBorders>
              <w:top w:val="single" w:color="auto"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rPr>
            </w:pPr>
            <w:r>
              <w:rPr>
                <w:rFonts w:hint="eastAsia" w:ascii="宋体" w:hAnsi="宋体"/>
                <w:color w:val="000000"/>
                <w:sz w:val="24"/>
              </w:rPr>
              <w:t>地址及邮编</w:t>
            </w:r>
          </w:p>
        </w:tc>
        <w:tc>
          <w:tcPr>
            <w:tcW w:w="6837" w:type="dxa"/>
            <w:gridSpan w:val="18"/>
            <w:tcBorders>
              <w:top w:val="single" w:color="auto"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898" w:type="dxa"/>
            <w:gridSpan w:val="21"/>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申请业务种类和级次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4431" w:type="dxa"/>
            <w:gridSpan w:val="7"/>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rPr>
            </w:pPr>
            <w:r>
              <w:rPr>
                <w:rFonts w:ascii="宋体" w:hAnsi="宋体"/>
                <w:color w:val="000000"/>
                <w:sz w:val="24"/>
              </w:rPr>
              <w:t>□</w:t>
            </w:r>
            <w:r>
              <w:rPr>
                <w:rFonts w:ascii="宋体" w:hAnsi="宋体"/>
                <w:color w:val="000000"/>
              </w:rPr>
              <w:t>政府非税收入收缴业务</w:t>
            </w:r>
          </w:p>
        </w:tc>
        <w:tc>
          <w:tcPr>
            <w:tcW w:w="4467" w:type="dxa"/>
            <w:gridSpan w:val="1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rPr>
            </w:pPr>
            <w:r>
              <w:rPr>
                <w:rFonts w:ascii="宋体" w:hAnsi="宋体"/>
                <w:color w:val="000000"/>
                <w:sz w:val="24"/>
              </w:rPr>
              <w:t>□</w:t>
            </w:r>
            <w:r>
              <w:rPr>
                <w:rFonts w:ascii="宋体" w:hAnsi="宋体"/>
                <w:color w:val="000000"/>
              </w:rPr>
              <w:t>国库集中支付业务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4431" w:type="dxa"/>
            <w:gridSpan w:val="7"/>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olor w:val="000000"/>
                <w:sz w:val="24"/>
              </w:rPr>
            </w:pPr>
            <w:r>
              <w:rPr>
                <w:rFonts w:ascii="宋体" w:hAnsi="宋体" w:eastAsia="宋体" w:cs="黑体"/>
                <w:color w:val="000000"/>
                <w:kern w:val="2"/>
                <w:sz w:val="24"/>
                <w:szCs w:val="22"/>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1431925</wp:posOffset>
                      </wp:positionH>
                      <wp:positionV relativeFrom="paragraph">
                        <wp:posOffset>46355</wp:posOffset>
                      </wp:positionV>
                      <wp:extent cx="1219200" cy="642620"/>
                      <wp:effectExtent l="0" t="0" r="0" b="5080"/>
                      <wp:wrapNone/>
                      <wp:docPr id="9" name="Quad Arrow 92"/>
                      <wp:cNvGraphicFramePr/>
                      <a:graphic xmlns:a="http://schemas.openxmlformats.org/drawingml/2006/main">
                        <a:graphicData uri="http://schemas.microsoft.com/office/word/2010/wordprocessingShape">
                          <wps:wsp>
                            <wps:cNvSpPr txBox="1"/>
                            <wps:spPr>
                              <a:xfrm>
                                <a:off x="0" y="0"/>
                                <a:ext cx="1219200" cy="642620"/>
                              </a:xfrm>
                              <a:prstGeom prst="rect">
                                <a:avLst/>
                              </a:prstGeom>
                              <a:solidFill>
                                <a:srgbClr val="FFFFFF"/>
                              </a:solidFill>
                              <a:ln>
                                <a:noFill/>
                              </a:ln>
                              <a:effectLst/>
                            </wps:spPr>
                            <wps:txbx>
                              <w:txbxContent>
                                <w:p>
                                  <w:pPr>
                                    <w:rPr>
                                      <w:color w:val="969696"/>
                                    </w:rPr>
                                  </w:pPr>
                                  <w:r>
                                    <w:rPr>
                                      <w:rFonts w:hint="eastAsia"/>
                                      <w:color w:val="969696"/>
                                    </w:rPr>
                                    <w:t>（根据勾选的级次填写对应</w:t>
                                  </w:r>
                                  <w:r>
                                    <w:rPr>
                                      <w:color w:val="969696"/>
                                    </w:rPr>
                                    <w:t>行政区域</w:t>
                                  </w:r>
                                  <w:r>
                                    <w:rPr>
                                      <w:rFonts w:hint="eastAsia"/>
                                      <w:color w:val="969696"/>
                                    </w:rPr>
                                    <w:t>）</w:t>
                                  </w:r>
                                </w:p>
                              </w:txbxContent>
                            </wps:txbx>
                            <wps:bodyPr vert="horz" anchor="t" anchorCtr="0" upright="1"/>
                          </wps:wsp>
                        </a:graphicData>
                      </a:graphic>
                    </wp:anchor>
                  </w:drawing>
                </mc:Choice>
                <mc:Fallback>
                  <w:pict>
                    <v:shape id="Quad Arrow 92" o:spid="_x0000_s1026" o:spt="202" type="#_x0000_t202" style="position:absolute;left:0pt;margin-left:112.75pt;margin-top:3.65pt;height:50.6pt;width:96pt;z-index:251666432;mso-width-relative:page;mso-height-relative:page;" fillcolor="#FFFFFF" filled="t" stroked="f" coordsize="21600,21600" o:gfxdata="UEsDBAoAAAAAAIdO4kAAAAAAAAAAAAAAAAAEAAAAZHJzL1BLAwQUAAAACACHTuJA+zLChdYAAAAJ&#10;AQAADwAAAGRycy9kb3ducmV2LnhtbE2PQU7DMBBF90jcwRokNojaCU3ThjiVQAKxbekBJrGbRI3H&#10;Uew27e0ZVrD8+k9/3pTbqxvExU6h96QhWSgQlhpvemo1HL4/ntcgQkQyOHiyGm42wLa6vyuxMH6m&#10;nb3sYyt4hEKBGroYx0LK0HTWYVj40RJ3Rz85jBynVpoJZx53g0yVWkmHPfGFDkf73tnmtD87Dcev&#10;+SnbzPVnPOS75eoN+7z2N60fHxL1CiLaa/yD4Vef1aFip9qfyQQxaEjTLGNUQ/4CgvtlknOuGVTr&#10;DGRVyv8fVD9QSwMEFAAAAAgAh07iQNQM9+KzAQAAXgMAAA4AAABkcnMvZTJvRG9jLnhtbK1T247b&#10;IBB9r9R/QLw3JFYVNVacVbur9KXqRbv9AIKxjQQMGkjs9Os74CTdtm+rzQMZ5sY5Z8bbu8lZdtIY&#10;DfiGrxZLzrRX0BrfN/zn0/7dB85ikr6VFrxu+FlHfrd7+2Y7hlpXMIBtNTJq4mM9hoYPKYVaiKgG&#10;7WRcQNCegh2gk4mu2IsW5UjdnRXVcrkWI2AbEJSOkbwPc5DvSv+u0yp967qoE7MNJ2ypnFjOQz7F&#10;bivrHmUYjLrAkC9A4aTx9Oit1YNMkh3R/NfKGYUQoUsLBU5A1xmlCwdis1r+w+ZxkEEXLiRODDeZ&#10;4uu1VV9P35GZtuEbzrx0NKIfR9myj4gwsk2VBRpDrCnvMVBmmj7BRIO++iM5M++pQ5f/iRGjOEl9&#10;vsmrp8RULqpWG5oZZ4pi6/fVuir6iz/VAWP6rMGxbDQcaXxFVXn6EhMhodRrSn4sgjXt3lhbLtgf&#10;7i2yk6RR78svg6SSv9Ksz8kectkcnj26LMvlmcx4ZpatNB2miwwHaM+kAi08wRsAf3EmvSKj4elq&#10;3qd5v44BTT9QXhFL5E40xILosnB5S57fyX7+We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sy&#10;woXWAAAACQEAAA8AAAAAAAAAAQAgAAAAIgAAAGRycy9kb3ducmV2LnhtbFBLAQIUABQAAAAIAIdO&#10;4kDUDPfiswEAAF4DAAAOAAAAAAAAAAEAIAAAACUBAABkcnMvZTJvRG9jLnhtbFBLBQYAAAAABgAG&#10;AFkBAABKBQAAAAA=&#10;">
                      <v:fill on="t" focussize="0,0"/>
                      <v:stroke on="f"/>
                      <v:imagedata o:title=""/>
                      <o:lock v:ext="edit" aspectratio="f"/>
                      <v:textbox>
                        <w:txbxContent>
                          <w:p>
                            <w:pPr>
                              <w:rPr>
                                <w:color w:val="969696"/>
                              </w:rPr>
                            </w:pPr>
                            <w:r>
                              <w:rPr>
                                <w:rFonts w:hint="eastAsia"/>
                                <w:color w:val="969696"/>
                              </w:rPr>
                              <w:t>（根据勾选的级次填写对应</w:t>
                            </w:r>
                            <w:r>
                              <w:rPr>
                                <w:color w:val="969696"/>
                              </w:rPr>
                              <w:t>行政区域</w:t>
                            </w:r>
                            <w:r>
                              <w:rPr>
                                <w:rFonts w:hint="eastAsia"/>
                                <w:color w:val="969696"/>
                              </w:rPr>
                              <w:t>）</w:t>
                            </w:r>
                          </w:p>
                        </w:txbxContent>
                      </v:textbox>
                    </v:shape>
                  </w:pict>
                </mc:Fallback>
              </mc:AlternateContent>
            </w:r>
            <w:r>
              <w:rPr>
                <w:rFonts w:ascii="宋体" w:hAnsi="宋体"/>
                <w:color w:val="000000"/>
                <w:sz w:val="24"/>
              </w:rPr>
              <w:t>□省级：</w:t>
            </w:r>
            <w:r>
              <w:rPr>
                <w:rFonts w:ascii="宋体" w:hAnsi="宋体"/>
                <w:color w:val="000000"/>
                <w:sz w:val="24"/>
                <w:u w:val="single"/>
              </w:rPr>
              <w:t>　　　　　</w:t>
            </w:r>
            <w:r>
              <w:rPr>
                <w:rFonts w:ascii="宋体" w:hAnsi="宋体"/>
                <w:color w:val="000000"/>
                <w:sz w:val="24"/>
              </w:rPr>
              <w:br w:type="textWrapping"/>
            </w:r>
            <w:r>
              <w:rPr>
                <w:rFonts w:ascii="宋体" w:hAnsi="宋体"/>
                <w:color w:val="000000"/>
                <w:sz w:val="24"/>
              </w:rPr>
              <w:t>□市级：</w:t>
            </w:r>
            <w:r>
              <w:rPr>
                <w:rFonts w:ascii="宋体" w:hAnsi="宋体"/>
                <w:color w:val="000000"/>
                <w:sz w:val="24"/>
                <w:u w:val="single"/>
              </w:rPr>
              <w:t>　　　　　</w:t>
            </w:r>
            <w:r>
              <w:rPr>
                <w:rFonts w:ascii="宋体" w:hAnsi="宋体"/>
                <w:color w:val="000000"/>
                <w:sz w:val="24"/>
              </w:rPr>
              <w:br w:type="textWrapping"/>
            </w:r>
            <w:r>
              <w:rPr>
                <w:rFonts w:ascii="宋体" w:hAnsi="宋体"/>
                <w:color w:val="000000"/>
                <w:sz w:val="24"/>
              </w:rPr>
              <w:t>□</w:t>
            </w:r>
            <w:r>
              <w:rPr>
                <w:rFonts w:hint="eastAsia" w:ascii="宋体" w:hAnsi="宋体"/>
                <w:color w:val="000000"/>
                <w:sz w:val="24"/>
              </w:rPr>
              <w:t>旗</w:t>
            </w:r>
            <w:r>
              <w:rPr>
                <w:rFonts w:ascii="宋体" w:hAnsi="宋体"/>
                <w:color w:val="000000"/>
                <w:sz w:val="24"/>
              </w:rPr>
              <w:t>县</w:t>
            </w:r>
            <w:r>
              <w:rPr>
                <w:rFonts w:hint="eastAsia" w:ascii="宋体" w:hAnsi="宋体"/>
                <w:color w:val="000000"/>
                <w:sz w:val="24"/>
              </w:rPr>
              <w:t>区（市）</w:t>
            </w:r>
            <w:r>
              <w:rPr>
                <w:rFonts w:ascii="宋体" w:hAnsi="宋体"/>
                <w:color w:val="000000"/>
                <w:sz w:val="24"/>
              </w:rPr>
              <w:t>级：</w:t>
            </w:r>
            <w:r>
              <w:rPr>
                <w:rFonts w:ascii="宋体" w:hAnsi="宋体"/>
                <w:color w:val="000000"/>
                <w:sz w:val="24"/>
                <w:u w:val="single"/>
              </w:rPr>
              <w:t>　　　　　</w:t>
            </w:r>
          </w:p>
        </w:tc>
        <w:tc>
          <w:tcPr>
            <w:tcW w:w="4467" w:type="dxa"/>
            <w:gridSpan w:val="14"/>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olor w:val="000000"/>
                <w:sz w:val="24"/>
              </w:rPr>
            </w:pPr>
            <w:r>
              <w:rPr>
                <w:rFonts w:ascii="Calibri" w:hAnsi="Calibri" w:eastAsia="宋体" w:cs="黑体"/>
                <w:kern w:val="2"/>
                <w:sz w:val="21"/>
                <w:szCs w:val="22"/>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1503045</wp:posOffset>
                      </wp:positionH>
                      <wp:positionV relativeFrom="paragraph">
                        <wp:posOffset>93345</wp:posOffset>
                      </wp:positionV>
                      <wp:extent cx="1219200" cy="642620"/>
                      <wp:effectExtent l="0" t="0" r="0" b="5080"/>
                      <wp:wrapNone/>
                      <wp:docPr id="8" name="文本框 3"/>
                      <wp:cNvGraphicFramePr/>
                      <a:graphic xmlns:a="http://schemas.openxmlformats.org/drawingml/2006/main">
                        <a:graphicData uri="http://schemas.microsoft.com/office/word/2010/wordprocessingShape">
                          <wps:wsp>
                            <wps:cNvSpPr txBox="1"/>
                            <wps:spPr>
                              <a:xfrm>
                                <a:off x="0" y="0"/>
                                <a:ext cx="1219200" cy="642620"/>
                              </a:xfrm>
                              <a:prstGeom prst="rect">
                                <a:avLst/>
                              </a:prstGeom>
                              <a:solidFill>
                                <a:srgbClr val="FFFFFF"/>
                              </a:solidFill>
                              <a:ln>
                                <a:noFill/>
                              </a:ln>
                              <a:effectLst/>
                            </wps:spPr>
                            <wps:txbx>
                              <w:txbxContent>
                                <w:p>
                                  <w:pPr>
                                    <w:rPr>
                                      <w:color w:val="969696"/>
                                    </w:rPr>
                                  </w:pPr>
                                  <w:r>
                                    <w:rPr>
                                      <w:rFonts w:hint="eastAsia"/>
                                      <w:color w:val="969696"/>
                                    </w:rPr>
                                    <w:t>（根据勾选的级次填写对应</w:t>
                                  </w:r>
                                  <w:r>
                                    <w:rPr>
                                      <w:color w:val="969696"/>
                                    </w:rPr>
                                    <w:t>行政区域</w:t>
                                  </w:r>
                                  <w:r>
                                    <w:rPr>
                                      <w:rFonts w:hint="eastAsia"/>
                                      <w:color w:val="969696"/>
                                    </w:rPr>
                                    <w:t>）</w:t>
                                  </w:r>
                                </w:p>
                              </w:txbxContent>
                            </wps:txbx>
                            <wps:bodyPr vert="horz" anchor="t" anchorCtr="0" upright="1"/>
                          </wps:wsp>
                        </a:graphicData>
                      </a:graphic>
                    </wp:anchor>
                  </w:drawing>
                </mc:Choice>
                <mc:Fallback>
                  <w:pict>
                    <v:shape id="文本框 3" o:spid="_x0000_s1026" o:spt="202" type="#_x0000_t202" style="position:absolute;left:0pt;margin-left:118.35pt;margin-top:7.35pt;height:50.6pt;width:96pt;z-index:251665408;mso-width-relative:page;mso-height-relative:page;" fillcolor="#FFFFFF" filled="t" stroked="f" coordsize="21600,21600" o:gfxdata="UEsDBAoAAAAAAIdO4kAAAAAAAAAAAAAAAAAEAAAAZHJzL1BLAwQUAAAACACHTuJAyUR1o9cAAAAK&#10;AQAADwAAAGRycy9kb3ducmV2LnhtbE2Py26DMBBF95X6D9ZE6qZqDJRAQjCRWqlVt3l8wIAngIpt&#10;hJ2Q/H2nq3Y1j3t150y5u5lBXGnyvbMK4mUEgmzjdG9bBafjx8sahA9oNQ7OkoI7edhVjw8lFtrN&#10;dk/XQ2gFh1hfoIIuhLGQ0jcdGfRLN5Jl7ewmg4HHqZV6wpnDzSCTKMqkwd7yhQ5Heu+o+T5cjILz&#10;1/y82sz1Zzjl+zR7wz6v3V2pp0UcbUEEuoU/M/ziMzpUzFS7i9VeDAqS1yxnKwspVzakyZqbmhfx&#10;agOyKuX/F6ofUEsDBBQAAAAIAIdO4kCdUuhDvwEAAFwDAAAOAAAAZHJzL2Uyb0RvYy54bWytU0tu&#10;2zAQ3RfoHQjua9lKYbSC5QBJ4G6KtkCaA9AUJREgOcSQseQeoL1BV91033P5HB1StpsmuyBe0MP5&#10;cd57o9XlaA3bKQwaXM0XszlnyklotOtqfvd18+YdZyEK1wgDTtV8rwK/XL9+tRp8pUrowTQKGTVx&#10;oRp8zfsYfVUUQfbKijADrxwFW0ArIl2xKxoUA3W3pijn82UxADYeQaoQyHszBfk6929bJePntg0q&#10;MlNzmi3mE/O5TWexXomqQ+F7LY9jiGdMYYV29Oi51Y2Igt2jftLKaokQoI0zCbaAttVSZQyEZjF/&#10;hOa2F15lLERO8Geawsu1lZ92X5DppuYklBOWJDr8/HH49efw+zu7SPQMPlSUdespL45XMJLMJ38g&#10;Z0I9tmjTP+FhFCei92dy1RiZTEXl4j0pxpmk2PJtuSwz+8W/ao8hflBgWTJqjiRe5lTsPoZIk1Dq&#10;KSU9FsDoZqONyRfsttcG2U6Q0Jv8S0NSyX9pxqVkB6lsCk8elVfl+ExCPCFLVhy345GGLTR7YoHW&#10;ncbrAb9xJpwko+bxZF7HabvuPequp7xMVpE6kYR5ouO6pR15eCf74Uex/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JRHWj1wAAAAoBAAAPAAAAAAAAAAEAIAAAACIAAABkcnMvZG93bnJldi54bWxQ&#10;SwECFAAUAAAACACHTuJAnVLoQ78BAABcAwAADgAAAAAAAAABACAAAAAmAQAAZHJzL2Uyb0RvYy54&#10;bWxQSwUGAAAAAAYABgBZAQAAVwUAAAAA&#10;">
                      <v:fill on="t" focussize="0,0"/>
                      <v:stroke on="f"/>
                      <v:imagedata o:title=""/>
                      <o:lock v:ext="edit" aspectratio="f"/>
                      <v:textbox>
                        <w:txbxContent>
                          <w:p>
                            <w:pPr>
                              <w:rPr>
                                <w:color w:val="969696"/>
                              </w:rPr>
                            </w:pPr>
                            <w:r>
                              <w:rPr>
                                <w:rFonts w:hint="eastAsia"/>
                                <w:color w:val="969696"/>
                              </w:rPr>
                              <w:t>（根据勾选的级次填写对应</w:t>
                            </w:r>
                            <w:r>
                              <w:rPr>
                                <w:color w:val="969696"/>
                              </w:rPr>
                              <w:t>行政区域</w:t>
                            </w:r>
                            <w:r>
                              <w:rPr>
                                <w:rFonts w:hint="eastAsia"/>
                                <w:color w:val="969696"/>
                              </w:rPr>
                              <w:t>）</w:t>
                            </w:r>
                          </w:p>
                        </w:txbxContent>
                      </v:textbox>
                    </v:shape>
                  </w:pict>
                </mc:Fallback>
              </mc:AlternateContent>
            </w:r>
            <w:r>
              <w:rPr>
                <w:rFonts w:ascii="宋体" w:hAnsi="宋体"/>
                <w:color w:val="000000"/>
                <w:sz w:val="24"/>
              </w:rPr>
              <w:t>□省级：</w:t>
            </w:r>
            <w:r>
              <w:rPr>
                <w:rFonts w:ascii="宋体" w:hAnsi="宋体"/>
                <w:color w:val="000000"/>
                <w:sz w:val="24"/>
                <w:u w:val="single"/>
              </w:rPr>
              <w:t>　　　　　</w:t>
            </w:r>
            <w:r>
              <w:rPr>
                <w:rFonts w:ascii="宋体" w:hAnsi="宋体"/>
                <w:color w:val="000000"/>
                <w:sz w:val="24"/>
              </w:rPr>
              <w:br w:type="textWrapping"/>
            </w:r>
            <w:r>
              <w:rPr>
                <w:rFonts w:ascii="宋体" w:hAnsi="宋体"/>
                <w:color w:val="000000"/>
                <w:sz w:val="24"/>
              </w:rPr>
              <w:t>□市级：</w:t>
            </w:r>
            <w:r>
              <w:rPr>
                <w:rFonts w:ascii="宋体" w:hAnsi="宋体"/>
                <w:color w:val="000000"/>
                <w:sz w:val="24"/>
                <w:u w:val="single"/>
              </w:rPr>
              <w:t>　　　　　</w:t>
            </w:r>
            <w:r>
              <w:rPr>
                <w:rFonts w:ascii="宋体" w:hAnsi="宋体"/>
                <w:color w:val="000000"/>
                <w:sz w:val="24"/>
              </w:rPr>
              <w:br w:type="textWrapping"/>
            </w:r>
            <w:r>
              <w:rPr>
                <w:rFonts w:ascii="宋体" w:hAnsi="宋体"/>
                <w:color w:val="000000"/>
                <w:sz w:val="24"/>
              </w:rPr>
              <w:t>□</w:t>
            </w:r>
            <w:r>
              <w:rPr>
                <w:rFonts w:hint="eastAsia" w:ascii="宋体" w:hAnsi="宋体"/>
                <w:color w:val="000000"/>
                <w:sz w:val="24"/>
              </w:rPr>
              <w:t>旗</w:t>
            </w:r>
            <w:r>
              <w:rPr>
                <w:rFonts w:ascii="宋体" w:hAnsi="宋体"/>
                <w:color w:val="000000"/>
                <w:sz w:val="24"/>
              </w:rPr>
              <w:t>县</w:t>
            </w:r>
            <w:r>
              <w:rPr>
                <w:rFonts w:hint="eastAsia" w:ascii="宋体" w:hAnsi="宋体"/>
                <w:color w:val="000000"/>
                <w:sz w:val="24"/>
              </w:rPr>
              <w:t>区（市）</w:t>
            </w:r>
            <w:r>
              <w:rPr>
                <w:rFonts w:ascii="宋体" w:hAnsi="宋体"/>
                <w:color w:val="000000"/>
                <w:sz w:val="24"/>
              </w:rPr>
              <w:t>级：</w:t>
            </w:r>
            <w:r>
              <w:rPr>
                <w:rFonts w:ascii="宋体" w:hAnsi="宋体"/>
                <w:color w:val="000000"/>
                <w:sz w:val="24"/>
                <w:u w:val="singl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39" w:type="dxa"/>
            <w:vMerge w:val="restart"/>
            <w:tcBorders>
              <w:left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政府非税收入收缴业务</w:t>
            </w:r>
          </w:p>
        </w:tc>
        <w:tc>
          <w:tcPr>
            <w:tcW w:w="155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rPr>
            </w:pPr>
            <w:r>
              <w:rPr>
                <w:rFonts w:ascii="宋体" w:hAnsi="宋体"/>
                <w:color w:val="000000"/>
              </w:rPr>
              <w:t>主要负责部门</w:t>
            </w:r>
          </w:p>
        </w:tc>
        <w:tc>
          <w:tcPr>
            <w:tcW w:w="1636" w:type="dxa"/>
            <w:gridSpan w:val="3"/>
            <w:tcBorders>
              <w:left w:val="single" w:color="000000" w:sz="4" w:space="0"/>
              <w:bottom w:val="single" w:color="000000" w:sz="4" w:space="0"/>
              <w:right w:val="single" w:color="auto" w:sz="4" w:space="0"/>
            </w:tcBorders>
            <w:vAlign w:val="center"/>
          </w:tcPr>
          <w:p>
            <w:pPr>
              <w:autoSpaceDN w:val="0"/>
              <w:jc w:val="left"/>
              <w:textAlignment w:val="center"/>
              <w:rPr>
                <w:rFonts w:ascii="宋体" w:hAnsi="宋体"/>
                <w:color w:val="000000"/>
                <w:sz w:val="24"/>
              </w:rPr>
            </w:pPr>
          </w:p>
        </w:tc>
        <w:tc>
          <w:tcPr>
            <w:tcW w:w="1323" w:type="dxa"/>
            <w:gridSpan w:val="6"/>
            <w:tcBorders>
              <w:top w:val="single" w:color="auto" w:sz="4" w:space="0"/>
              <w:left w:val="single" w:color="auto" w:sz="4" w:space="0"/>
              <w:bottom w:val="single" w:color="auto" w:sz="4" w:space="0"/>
              <w:right w:val="single" w:color="000000" w:sz="4" w:space="0"/>
            </w:tcBorders>
            <w:vAlign w:val="center"/>
          </w:tcPr>
          <w:p>
            <w:pPr>
              <w:autoSpaceDN w:val="0"/>
              <w:jc w:val="left"/>
              <w:textAlignment w:val="center"/>
              <w:rPr>
                <w:rFonts w:ascii="宋体" w:hAnsi="宋体"/>
                <w:color w:val="000000"/>
              </w:rPr>
            </w:pPr>
            <w:r>
              <w:rPr>
                <w:rFonts w:ascii="宋体" w:hAnsi="宋体"/>
                <w:color w:val="000000"/>
              </w:rPr>
              <w:t>主要负责人</w:t>
            </w:r>
          </w:p>
        </w:tc>
        <w:tc>
          <w:tcPr>
            <w:tcW w:w="990" w:type="dxa"/>
            <w:gridSpan w:val="2"/>
            <w:tcBorders>
              <w:top w:val="single" w:color="auto" w:sz="4" w:space="0"/>
              <w:bottom w:val="single" w:color="auto" w:sz="4" w:space="0"/>
              <w:right w:val="single" w:color="000000" w:sz="4" w:space="0"/>
            </w:tcBorders>
            <w:vAlign w:val="center"/>
          </w:tcPr>
          <w:p>
            <w:pPr>
              <w:autoSpaceDN w:val="0"/>
              <w:jc w:val="left"/>
              <w:textAlignment w:val="center"/>
              <w:rPr>
                <w:rFonts w:ascii="宋体" w:hAnsi="宋体"/>
                <w:color w:val="000000"/>
              </w:rPr>
            </w:pPr>
          </w:p>
        </w:tc>
        <w:tc>
          <w:tcPr>
            <w:tcW w:w="1140" w:type="dxa"/>
            <w:gridSpan w:val="5"/>
            <w:tcBorders>
              <w:top w:val="single" w:color="auto" w:sz="4" w:space="0"/>
              <w:bottom w:val="single" w:color="auto" w:sz="4" w:space="0"/>
            </w:tcBorders>
            <w:vAlign w:val="center"/>
          </w:tcPr>
          <w:p>
            <w:pPr>
              <w:autoSpaceDN w:val="0"/>
              <w:jc w:val="left"/>
              <w:textAlignment w:val="center"/>
              <w:rPr>
                <w:rFonts w:ascii="宋体" w:hAnsi="宋体"/>
                <w:color w:val="000000"/>
              </w:rPr>
            </w:pPr>
            <w:r>
              <w:rPr>
                <w:rFonts w:ascii="宋体" w:hAnsi="宋体"/>
                <w:color w:val="000000"/>
              </w:rPr>
              <w:t>联系电话</w:t>
            </w:r>
          </w:p>
        </w:tc>
        <w:tc>
          <w:tcPr>
            <w:tcW w:w="1014" w:type="dxa"/>
            <w:tcBorders>
              <w:top w:val="single" w:color="auto" w:sz="4" w:space="0"/>
              <w:left w:val="single" w:color="000000" w:sz="4" w:space="0"/>
              <w:bottom w:val="single" w:color="auto" w:sz="4" w:space="0"/>
              <w:right w:val="single" w:color="auto" w:sz="4" w:space="0"/>
            </w:tcBorders>
            <w:vAlign w:val="bottom"/>
          </w:tcPr>
          <w:p>
            <w:pPr>
              <w:autoSpaceDN w:val="0"/>
              <w:jc w:val="left"/>
              <w:textAlignment w:val="bottom"/>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239" w:type="dxa"/>
            <w:vMerge w:val="continue"/>
            <w:tcBorders>
              <w:left w:val="single" w:color="000000" w:sz="4" w:space="0"/>
              <w:right w:val="single" w:color="000000" w:sz="4" w:space="0"/>
            </w:tcBorders>
            <w:vAlign w:val="center"/>
          </w:tcPr>
          <w:p/>
        </w:tc>
        <w:tc>
          <w:tcPr>
            <w:tcW w:w="1556" w:type="dxa"/>
            <w:gridSpan w:val="3"/>
            <w:tcBorders>
              <w:bottom w:val="single" w:color="000000" w:sz="4" w:space="0"/>
            </w:tcBorders>
            <w:vAlign w:val="center"/>
          </w:tcPr>
          <w:p>
            <w:pPr>
              <w:autoSpaceDN w:val="0"/>
              <w:jc w:val="left"/>
              <w:textAlignment w:val="center"/>
              <w:rPr>
                <w:rFonts w:ascii="宋体" w:hAnsi="宋体"/>
                <w:color w:val="000000"/>
              </w:rPr>
            </w:pPr>
            <w:r>
              <w:rPr>
                <w:rFonts w:ascii="宋体" w:hAnsi="宋体"/>
                <w:color w:val="000000"/>
              </w:rPr>
              <w:t>网点数量</w:t>
            </w:r>
          </w:p>
        </w:tc>
        <w:tc>
          <w:tcPr>
            <w:tcW w:w="2215" w:type="dxa"/>
            <w:gridSpan w:val="4"/>
            <w:tcBorders>
              <w:left w:val="single" w:color="000000" w:sz="4" w:space="0"/>
              <w:bottom w:val="single" w:color="000000" w:sz="4" w:space="0"/>
              <w:right w:val="single" w:color="auto" w:sz="4" w:space="0"/>
            </w:tcBorders>
            <w:vAlign w:val="center"/>
          </w:tcPr>
          <w:p>
            <w:pPr>
              <w:autoSpaceDN w:val="0"/>
              <w:jc w:val="left"/>
              <w:textAlignment w:val="center"/>
              <w:rPr>
                <w:rFonts w:ascii="宋体" w:hAnsi="宋体"/>
                <w:color w:val="000000"/>
                <w:sz w:val="13"/>
                <w:szCs w:val="13"/>
              </w:rPr>
            </w:pPr>
            <w:r>
              <w:rPr>
                <w:rFonts w:ascii="宋体" w:hAnsi="宋体"/>
                <w:color w:val="969696"/>
                <w:sz w:val="13"/>
                <w:szCs w:val="13"/>
              </w:rPr>
              <w:t>（</w:t>
            </w:r>
            <w:r>
              <w:rPr>
                <w:rFonts w:hint="eastAsia" w:ascii="宋体" w:hAnsi="宋体"/>
                <w:color w:val="969696"/>
                <w:sz w:val="13"/>
                <w:szCs w:val="13"/>
              </w:rPr>
              <w:t>申请机构下辖</w:t>
            </w:r>
            <w:r>
              <w:rPr>
                <w:rFonts w:ascii="宋体" w:hAnsi="宋体"/>
                <w:color w:val="969696"/>
                <w:sz w:val="13"/>
                <w:szCs w:val="13"/>
              </w:rPr>
              <w:t>拟办理</w:t>
            </w:r>
            <w:r>
              <w:rPr>
                <w:rFonts w:hint="eastAsia" w:ascii="宋体" w:hAnsi="宋体"/>
                <w:color w:val="969696"/>
                <w:sz w:val="13"/>
                <w:szCs w:val="13"/>
              </w:rPr>
              <w:t>非税收入收缴</w:t>
            </w:r>
            <w:r>
              <w:rPr>
                <w:rFonts w:ascii="宋体" w:hAnsi="宋体"/>
                <w:color w:val="969696"/>
                <w:sz w:val="13"/>
                <w:szCs w:val="13"/>
              </w:rPr>
              <w:t>业务的网点数量）</w:t>
            </w:r>
          </w:p>
        </w:tc>
        <w:tc>
          <w:tcPr>
            <w:tcW w:w="1740" w:type="dxa"/>
            <w:gridSpan w:val="8"/>
            <w:tcBorders>
              <w:left w:val="single" w:color="auto" w:sz="4" w:space="0"/>
              <w:bottom w:val="single" w:color="000000" w:sz="4" w:space="0"/>
              <w:right w:val="single" w:color="auto" w:sz="4" w:space="0"/>
            </w:tcBorders>
            <w:vAlign w:val="center"/>
          </w:tcPr>
          <w:p>
            <w:pPr>
              <w:autoSpaceDN w:val="0"/>
              <w:jc w:val="left"/>
              <w:textAlignment w:val="center"/>
              <w:rPr>
                <w:rFonts w:ascii="宋体" w:hAnsi="宋体"/>
                <w:color w:val="000000"/>
                <w:sz w:val="24"/>
              </w:rPr>
            </w:pPr>
            <w:r>
              <w:rPr>
                <w:rFonts w:hint="eastAsia" w:ascii="宋体" w:hAnsi="宋体"/>
                <w:color w:val="000000"/>
                <w:sz w:val="24"/>
              </w:rPr>
              <w:t>从业人数</w:t>
            </w:r>
          </w:p>
        </w:tc>
        <w:tc>
          <w:tcPr>
            <w:tcW w:w="2148" w:type="dxa"/>
            <w:gridSpan w:val="5"/>
            <w:tcBorders>
              <w:left w:val="single" w:color="auto" w:sz="4" w:space="0"/>
              <w:bottom w:val="single" w:color="000000" w:sz="4" w:space="0"/>
              <w:right w:val="single" w:color="000000" w:sz="4" w:space="0"/>
            </w:tcBorders>
            <w:vAlign w:val="center"/>
          </w:tcPr>
          <w:p>
            <w:pPr>
              <w:autoSpaceDN w:val="0"/>
              <w:jc w:val="left"/>
              <w:textAlignment w:val="center"/>
              <w:rPr>
                <w:rFonts w:ascii="宋体" w:hAnsi="宋体"/>
                <w:color w:val="000000"/>
                <w:sz w:val="13"/>
                <w:szCs w:val="13"/>
              </w:rPr>
            </w:pPr>
            <w:r>
              <w:rPr>
                <w:rFonts w:ascii="宋体" w:hAnsi="宋体"/>
                <w:color w:val="969696"/>
                <w:sz w:val="13"/>
                <w:szCs w:val="13"/>
              </w:rPr>
              <w:t>（</w:t>
            </w:r>
            <w:r>
              <w:rPr>
                <w:rFonts w:hint="eastAsia" w:ascii="宋体" w:hAnsi="宋体"/>
                <w:color w:val="969696"/>
                <w:sz w:val="13"/>
                <w:szCs w:val="13"/>
              </w:rPr>
              <w:t>对应</w:t>
            </w:r>
            <w:r>
              <w:rPr>
                <w:rFonts w:ascii="宋体" w:hAnsi="宋体"/>
                <w:color w:val="969696"/>
                <w:sz w:val="13"/>
                <w:szCs w:val="13"/>
              </w:rPr>
              <w:t>上述网点中拟办理非税收入收缴业务的人员数量）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1239" w:type="dxa"/>
            <w:vMerge w:val="continue"/>
            <w:tcBorders>
              <w:left w:val="single" w:color="000000" w:sz="4" w:space="0"/>
              <w:right w:val="single" w:color="000000" w:sz="4" w:space="0"/>
            </w:tcBorders>
            <w:vAlign w:val="center"/>
          </w:tcPr>
          <w:p/>
        </w:tc>
        <w:tc>
          <w:tcPr>
            <w:tcW w:w="1556" w:type="dxa"/>
            <w:gridSpan w:val="3"/>
            <w:vMerge w:val="restart"/>
            <w:vAlign w:val="center"/>
          </w:tcPr>
          <w:p>
            <w:pPr>
              <w:autoSpaceDN w:val="0"/>
              <w:jc w:val="left"/>
              <w:textAlignment w:val="center"/>
              <w:rPr>
                <w:rFonts w:ascii="宋体" w:hAnsi="宋体"/>
                <w:color w:val="000000"/>
                <w:sz w:val="18"/>
                <w:szCs w:val="18"/>
              </w:rPr>
            </w:pPr>
            <w:r>
              <w:rPr>
                <w:rFonts w:ascii="宋体" w:hAnsi="宋体"/>
                <w:color w:val="000000"/>
              </w:rPr>
              <w:t>办理</w:t>
            </w:r>
            <w:r>
              <w:rPr>
                <w:rFonts w:hint="eastAsia" w:ascii="宋体" w:hAnsi="宋体"/>
                <w:color w:val="000000"/>
              </w:rPr>
              <w:t>非税收入收缴</w:t>
            </w:r>
            <w:r>
              <w:rPr>
                <w:rFonts w:ascii="宋体" w:hAnsi="宋体"/>
                <w:color w:val="000000"/>
              </w:rPr>
              <w:t>业务网点</w:t>
            </w:r>
          </w:p>
        </w:tc>
        <w:tc>
          <w:tcPr>
            <w:tcW w:w="2472" w:type="dxa"/>
            <w:gridSpan w:val="6"/>
            <w:tcBorders>
              <w:top w:val="single" w:color="000000" w:sz="4" w:space="0"/>
              <w:left w:val="single" w:color="000000" w:sz="4" w:space="0"/>
              <w:bottom w:val="single" w:color="auto" w:sz="4" w:space="0"/>
              <w:right w:val="single" w:color="auto" w:sz="4" w:space="0"/>
            </w:tcBorders>
            <w:vAlign w:val="center"/>
          </w:tcPr>
          <w:p>
            <w:pPr>
              <w:autoSpaceDN w:val="0"/>
              <w:jc w:val="center"/>
              <w:textAlignment w:val="center"/>
              <w:rPr>
                <w:rFonts w:ascii="宋体" w:hAnsi="宋体"/>
                <w:color w:val="000000"/>
              </w:rPr>
            </w:pPr>
            <w:r>
              <w:rPr>
                <w:rFonts w:hint="eastAsia" w:ascii="宋体" w:hAnsi="宋体"/>
                <w:color w:val="000000"/>
              </w:rPr>
              <w:t>网点名称</w:t>
            </w:r>
          </w:p>
        </w:tc>
        <w:tc>
          <w:tcPr>
            <w:tcW w:w="2136" w:type="dxa"/>
            <w:gridSpan w:val="8"/>
            <w:tcBorders>
              <w:top w:val="single" w:color="000000" w:sz="4" w:space="0"/>
              <w:left w:val="single" w:color="auto" w:sz="4" w:space="0"/>
              <w:bottom w:val="single" w:color="auto" w:sz="4" w:space="0"/>
              <w:right w:val="single" w:color="auto" w:sz="4" w:space="0"/>
            </w:tcBorders>
            <w:vAlign w:val="center"/>
          </w:tcPr>
          <w:p>
            <w:pPr>
              <w:autoSpaceDN w:val="0"/>
              <w:jc w:val="center"/>
              <w:textAlignment w:val="center"/>
              <w:rPr>
                <w:rFonts w:ascii="宋体" w:hAnsi="宋体"/>
                <w:color w:val="000000"/>
              </w:rPr>
            </w:pPr>
            <w:r>
              <w:rPr>
                <w:rFonts w:hint="eastAsia" w:ascii="宋体" w:hAnsi="宋体"/>
                <w:color w:val="000000"/>
              </w:rPr>
              <w:t>地址</w:t>
            </w:r>
          </w:p>
        </w:tc>
        <w:tc>
          <w:tcPr>
            <w:tcW w:w="1495" w:type="dxa"/>
            <w:gridSpan w:val="3"/>
            <w:tcBorders>
              <w:top w:val="single" w:color="000000" w:sz="4" w:space="0"/>
              <w:left w:val="single" w:color="auto" w:sz="4" w:space="0"/>
              <w:bottom w:val="single" w:color="auto" w:sz="4" w:space="0"/>
              <w:right w:val="single" w:color="000000" w:sz="4" w:space="0"/>
            </w:tcBorders>
            <w:vAlign w:val="center"/>
          </w:tcPr>
          <w:p>
            <w:pPr>
              <w:autoSpaceDN w:val="0"/>
              <w:jc w:val="center"/>
              <w:textAlignment w:val="center"/>
              <w:rPr>
                <w:rFonts w:ascii="宋体" w:hAnsi="宋体"/>
                <w:color w:val="000000"/>
              </w:rPr>
            </w:pPr>
            <w:r>
              <w:rPr>
                <w:rFonts w:hint="eastAsia" w:ascii="宋体" w:hAnsi="宋体"/>
                <w:color w:val="00000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1239" w:type="dxa"/>
            <w:vMerge w:val="continue"/>
            <w:tcBorders>
              <w:left w:val="single" w:color="000000" w:sz="4" w:space="0"/>
              <w:right w:val="single" w:color="000000" w:sz="4" w:space="0"/>
            </w:tcBorders>
            <w:vAlign w:val="center"/>
          </w:tcPr>
          <w:p/>
        </w:tc>
        <w:tc>
          <w:tcPr>
            <w:tcW w:w="1556" w:type="dxa"/>
            <w:gridSpan w:val="3"/>
            <w:vMerge w:val="continue"/>
            <w:vAlign w:val="center"/>
          </w:tcPr>
          <w:p>
            <w:pPr>
              <w:autoSpaceDN w:val="0"/>
              <w:jc w:val="left"/>
              <w:textAlignment w:val="center"/>
              <w:rPr>
                <w:rFonts w:ascii="宋体" w:hAnsi="宋体"/>
                <w:color w:val="000000"/>
              </w:rPr>
            </w:pPr>
          </w:p>
        </w:tc>
        <w:tc>
          <w:tcPr>
            <w:tcW w:w="2472" w:type="dxa"/>
            <w:gridSpan w:val="6"/>
            <w:tcBorders>
              <w:top w:val="single" w:color="auto" w:sz="4" w:space="0"/>
              <w:left w:val="single" w:color="000000" w:sz="4" w:space="0"/>
              <w:bottom w:val="single" w:color="auto" w:sz="4" w:space="0"/>
              <w:right w:val="single" w:color="auto" w:sz="4" w:space="0"/>
            </w:tcBorders>
            <w:vAlign w:val="center"/>
          </w:tcPr>
          <w:p>
            <w:pPr>
              <w:autoSpaceDN w:val="0"/>
              <w:jc w:val="left"/>
              <w:textAlignment w:val="center"/>
              <w:rPr>
                <w:rFonts w:ascii="宋体" w:hAnsi="宋体"/>
                <w:color w:val="000000"/>
              </w:rPr>
            </w:pPr>
            <w:r>
              <w:rPr>
                <w:rFonts w:hint="eastAsia" w:ascii="宋体" w:hAnsi="宋体"/>
                <w:color w:val="000000"/>
              </w:rPr>
              <w:t>1.</w:t>
            </w:r>
          </w:p>
        </w:tc>
        <w:tc>
          <w:tcPr>
            <w:tcW w:w="2136" w:type="dxa"/>
            <w:gridSpan w:val="8"/>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969696"/>
              </w:rPr>
            </w:pPr>
          </w:p>
        </w:tc>
        <w:tc>
          <w:tcPr>
            <w:tcW w:w="1495" w:type="dxa"/>
            <w:gridSpan w:val="3"/>
            <w:tcBorders>
              <w:top w:val="single" w:color="auto" w:sz="4" w:space="0"/>
              <w:left w:val="single" w:color="auto" w:sz="4" w:space="0"/>
              <w:bottom w:val="single" w:color="auto" w:sz="4" w:space="0"/>
              <w:right w:val="single" w:color="000000" w:sz="4" w:space="0"/>
            </w:tcBorders>
            <w:vAlign w:val="center"/>
          </w:tcPr>
          <w:p>
            <w:pPr>
              <w:autoSpaceDN w:val="0"/>
              <w:jc w:val="left"/>
              <w:textAlignment w:val="center"/>
              <w:rPr>
                <w:rFonts w:ascii="宋体" w:hAnsi="宋体"/>
                <w:color w:val="96969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1239" w:type="dxa"/>
            <w:vMerge w:val="continue"/>
            <w:tcBorders>
              <w:left w:val="single" w:color="000000" w:sz="4" w:space="0"/>
              <w:bottom w:val="single" w:color="auto" w:sz="4" w:space="0"/>
              <w:right w:val="single" w:color="000000" w:sz="4" w:space="0"/>
            </w:tcBorders>
            <w:vAlign w:val="center"/>
          </w:tcPr>
          <w:p/>
        </w:tc>
        <w:tc>
          <w:tcPr>
            <w:tcW w:w="1556" w:type="dxa"/>
            <w:gridSpan w:val="3"/>
            <w:vMerge w:val="continue"/>
            <w:tcBorders>
              <w:bottom w:val="single" w:color="auto" w:sz="4" w:space="0"/>
            </w:tcBorders>
            <w:vAlign w:val="center"/>
          </w:tcPr>
          <w:p>
            <w:pPr>
              <w:autoSpaceDN w:val="0"/>
              <w:jc w:val="left"/>
              <w:textAlignment w:val="center"/>
              <w:rPr>
                <w:rFonts w:ascii="宋体" w:hAnsi="宋体"/>
                <w:color w:val="000000"/>
              </w:rPr>
            </w:pPr>
          </w:p>
        </w:tc>
        <w:tc>
          <w:tcPr>
            <w:tcW w:w="2472" w:type="dxa"/>
            <w:gridSpan w:val="6"/>
            <w:tcBorders>
              <w:top w:val="single" w:color="auto" w:sz="4" w:space="0"/>
              <w:left w:val="single" w:color="000000" w:sz="4" w:space="0"/>
              <w:bottom w:val="single" w:color="auto" w:sz="4" w:space="0"/>
              <w:right w:val="single" w:color="auto" w:sz="4" w:space="0"/>
            </w:tcBorders>
            <w:vAlign w:val="center"/>
          </w:tcPr>
          <w:p>
            <w:pPr>
              <w:autoSpaceDN w:val="0"/>
              <w:jc w:val="left"/>
              <w:textAlignment w:val="center"/>
              <w:rPr>
                <w:rFonts w:ascii="宋体" w:hAnsi="宋体"/>
                <w:color w:val="969696"/>
              </w:rPr>
            </w:pPr>
            <w:r>
              <w:rPr>
                <w:rFonts w:hint="eastAsia" w:ascii="宋体" w:hAnsi="宋体"/>
                <w:color w:val="000000"/>
              </w:rPr>
              <w:t>2.</w:t>
            </w:r>
            <w:r>
              <w:rPr>
                <w:rFonts w:hint="eastAsia" w:ascii="宋体" w:hAnsi="宋体"/>
                <w:color w:val="969696"/>
                <w:sz w:val="15"/>
                <w:szCs w:val="15"/>
              </w:rPr>
              <w:t>（网点数量较多，可另附清单）</w:t>
            </w:r>
          </w:p>
        </w:tc>
        <w:tc>
          <w:tcPr>
            <w:tcW w:w="2136" w:type="dxa"/>
            <w:gridSpan w:val="8"/>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969696"/>
              </w:rPr>
            </w:pPr>
          </w:p>
        </w:tc>
        <w:tc>
          <w:tcPr>
            <w:tcW w:w="1495" w:type="dxa"/>
            <w:gridSpan w:val="3"/>
            <w:tcBorders>
              <w:top w:val="single" w:color="auto" w:sz="4" w:space="0"/>
              <w:left w:val="single" w:color="auto" w:sz="4" w:space="0"/>
              <w:bottom w:val="single" w:color="auto" w:sz="4" w:space="0"/>
              <w:right w:val="single" w:color="000000" w:sz="4" w:space="0"/>
            </w:tcBorders>
            <w:vAlign w:val="center"/>
          </w:tcPr>
          <w:p>
            <w:pPr>
              <w:autoSpaceDN w:val="0"/>
              <w:jc w:val="left"/>
              <w:textAlignment w:val="center"/>
              <w:rPr>
                <w:rFonts w:ascii="宋体" w:hAnsi="宋体"/>
                <w:color w:val="96969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39" w:type="dxa"/>
            <w:vMerge w:val="restart"/>
            <w:tcBorders>
              <w:top w:val="single" w:color="auto" w:sz="4" w:space="0"/>
              <w:left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国库集中支付业务</w:t>
            </w:r>
          </w:p>
        </w:tc>
        <w:tc>
          <w:tcPr>
            <w:tcW w:w="155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rPr>
            </w:pPr>
            <w:r>
              <w:rPr>
                <w:rFonts w:ascii="宋体" w:hAnsi="宋体"/>
                <w:color w:val="000000"/>
              </w:rPr>
              <w:t>主要负责部门</w:t>
            </w:r>
          </w:p>
        </w:tc>
        <w:tc>
          <w:tcPr>
            <w:tcW w:w="1636" w:type="dxa"/>
            <w:gridSpan w:val="3"/>
            <w:tcBorders>
              <w:bottom w:val="single" w:color="000000" w:sz="4" w:space="0"/>
              <w:right w:val="single" w:color="000000" w:sz="4" w:space="0"/>
            </w:tcBorders>
            <w:vAlign w:val="center"/>
          </w:tcPr>
          <w:p>
            <w:pPr>
              <w:autoSpaceDN w:val="0"/>
              <w:jc w:val="left"/>
              <w:textAlignment w:val="center"/>
              <w:rPr>
                <w:rFonts w:ascii="宋体" w:hAnsi="宋体"/>
                <w:color w:val="000000"/>
                <w:sz w:val="24"/>
              </w:rPr>
            </w:pPr>
          </w:p>
        </w:tc>
        <w:tc>
          <w:tcPr>
            <w:tcW w:w="1323" w:type="dxa"/>
            <w:gridSpan w:val="6"/>
            <w:tcBorders>
              <w:bottom w:val="single" w:color="000000" w:sz="4" w:space="0"/>
              <w:right w:val="single" w:color="000000" w:sz="4" w:space="0"/>
            </w:tcBorders>
            <w:vAlign w:val="center"/>
          </w:tcPr>
          <w:p>
            <w:pPr>
              <w:autoSpaceDN w:val="0"/>
              <w:jc w:val="left"/>
              <w:textAlignment w:val="center"/>
              <w:rPr>
                <w:rFonts w:ascii="宋体" w:hAnsi="宋体"/>
                <w:color w:val="000000"/>
              </w:rPr>
            </w:pPr>
            <w:r>
              <w:rPr>
                <w:rFonts w:ascii="宋体" w:hAnsi="宋体"/>
                <w:color w:val="000000"/>
              </w:rPr>
              <w:t>主要负责人</w:t>
            </w:r>
          </w:p>
        </w:tc>
        <w:tc>
          <w:tcPr>
            <w:tcW w:w="990" w:type="dxa"/>
            <w:gridSpan w:val="2"/>
            <w:tcBorders>
              <w:bottom w:val="single" w:color="000000" w:sz="4" w:space="0"/>
              <w:right w:val="single" w:color="000000" w:sz="4" w:space="0"/>
            </w:tcBorders>
            <w:vAlign w:val="center"/>
          </w:tcPr>
          <w:p>
            <w:pPr>
              <w:autoSpaceDN w:val="0"/>
              <w:jc w:val="left"/>
              <w:textAlignment w:val="center"/>
              <w:rPr>
                <w:rFonts w:ascii="宋体" w:hAnsi="宋体"/>
                <w:color w:val="000000"/>
              </w:rPr>
            </w:pPr>
          </w:p>
        </w:tc>
        <w:tc>
          <w:tcPr>
            <w:tcW w:w="1140" w:type="dxa"/>
            <w:gridSpan w:val="5"/>
            <w:tcBorders>
              <w:bottom w:val="single" w:color="000000" w:sz="4" w:space="0"/>
            </w:tcBorders>
            <w:vAlign w:val="center"/>
          </w:tcPr>
          <w:p>
            <w:pPr>
              <w:autoSpaceDN w:val="0"/>
              <w:jc w:val="left"/>
              <w:textAlignment w:val="center"/>
              <w:rPr>
                <w:rFonts w:ascii="宋体" w:hAnsi="宋体"/>
                <w:color w:val="000000"/>
              </w:rPr>
            </w:pPr>
            <w:r>
              <w:rPr>
                <w:rFonts w:ascii="宋体" w:hAnsi="宋体"/>
                <w:color w:val="000000"/>
              </w:rPr>
              <w:t>联系电话</w:t>
            </w:r>
          </w:p>
        </w:tc>
        <w:tc>
          <w:tcPr>
            <w:tcW w:w="1014" w:type="dxa"/>
            <w:tcBorders>
              <w:left w:val="single" w:color="000000" w:sz="4" w:space="0"/>
              <w:bottom w:val="single" w:color="000000" w:sz="4" w:space="0"/>
              <w:right w:val="single" w:color="000000" w:sz="4" w:space="0"/>
            </w:tcBorders>
            <w:vAlign w:val="bottom"/>
          </w:tcPr>
          <w:p>
            <w:pPr>
              <w:autoSpaceDN w:val="0"/>
              <w:jc w:val="left"/>
              <w:textAlignment w:val="bottom"/>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39" w:type="dxa"/>
            <w:vMerge w:val="continue"/>
            <w:tcBorders>
              <w:left w:val="single" w:color="000000" w:sz="4" w:space="0"/>
              <w:right w:val="single" w:color="000000" w:sz="4" w:space="0"/>
            </w:tcBorders>
            <w:vAlign w:val="center"/>
          </w:tcPr>
          <w:p/>
        </w:tc>
        <w:tc>
          <w:tcPr>
            <w:tcW w:w="1556" w:type="dxa"/>
            <w:gridSpan w:val="3"/>
            <w:tcBorders>
              <w:bottom w:val="single" w:color="000000" w:sz="4" w:space="0"/>
            </w:tcBorders>
            <w:vAlign w:val="center"/>
          </w:tcPr>
          <w:p>
            <w:pPr>
              <w:autoSpaceDN w:val="0"/>
              <w:jc w:val="left"/>
              <w:textAlignment w:val="center"/>
              <w:rPr>
                <w:rFonts w:ascii="宋体" w:hAnsi="宋体"/>
                <w:color w:val="000000"/>
              </w:rPr>
            </w:pPr>
            <w:r>
              <w:rPr>
                <w:rFonts w:hint="eastAsia" w:ascii="宋体" w:hAnsi="宋体"/>
                <w:color w:val="000000"/>
              </w:rPr>
              <w:t>对公业务</w:t>
            </w:r>
            <w:r>
              <w:rPr>
                <w:rFonts w:ascii="宋体" w:hAnsi="宋体"/>
                <w:color w:val="000000"/>
              </w:rPr>
              <w:t>网点数量</w:t>
            </w:r>
          </w:p>
        </w:tc>
        <w:tc>
          <w:tcPr>
            <w:tcW w:w="2268" w:type="dxa"/>
            <w:gridSpan w:val="5"/>
            <w:tcBorders>
              <w:top w:val="single" w:color="000000" w:sz="4" w:space="0"/>
              <w:left w:val="single" w:color="000000" w:sz="4" w:space="0"/>
              <w:bottom w:val="single" w:color="000000" w:sz="4" w:space="0"/>
              <w:right w:val="single" w:color="auto" w:sz="4" w:space="0"/>
            </w:tcBorders>
            <w:vAlign w:val="center"/>
          </w:tcPr>
          <w:p>
            <w:pPr>
              <w:autoSpaceDN w:val="0"/>
              <w:jc w:val="left"/>
              <w:textAlignment w:val="center"/>
              <w:rPr>
                <w:rFonts w:ascii="宋体" w:hAnsi="宋体"/>
                <w:color w:val="000000"/>
                <w:sz w:val="15"/>
                <w:szCs w:val="15"/>
              </w:rPr>
            </w:pPr>
            <w:r>
              <w:rPr>
                <w:rFonts w:ascii="宋体" w:hAnsi="宋体"/>
                <w:color w:val="969696"/>
                <w:sz w:val="15"/>
                <w:szCs w:val="15"/>
              </w:rPr>
              <w:t>（</w:t>
            </w:r>
            <w:r>
              <w:rPr>
                <w:rFonts w:hint="eastAsia" w:ascii="宋体" w:hAnsi="宋体"/>
                <w:color w:val="969696"/>
                <w:sz w:val="15"/>
                <w:szCs w:val="15"/>
              </w:rPr>
              <w:t>申请机构下辖办理对公业务网点数量</w:t>
            </w:r>
            <w:r>
              <w:rPr>
                <w:rFonts w:ascii="宋体" w:hAnsi="宋体"/>
                <w:color w:val="969696"/>
                <w:sz w:val="15"/>
                <w:szCs w:val="15"/>
              </w:rPr>
              <w:t>）</w:t>
            </w:r>
          </w:p>
        </w:tc>
        <w:tc>
          <w:tcPr>
            <w:tcW w:w="1681" w:type="dxa"/>
            <w:gridSpan w:val="6"/>
            <w:tcBorders>
              <w:top w:val="single" w:color="000000" w:sz="4" w:space="0"/>
              <w:left w:val="single" w:color="auto" w:sz="4" w:space="0"/>
              <w:bottom w:val="single" w:color="000000" w:sz="4" w:space="0"/>
              <w:right w:val="single" w:color="auto" w:sz="4" w:space="0"/>
            </w:tcBorders>
            <w:vAlign w:val="center"/>
          </w:tcPr>
          <w:p>
            <w:pPr>
              <w:autoSpaceDN w:val="0"/>
              <w:jc w:val="left"/>
              <w:textAlignment w:val="center"/>
              <w:rPr>
                <w:rFonts w:ascii="宋体" w:hAnsi="宋体"/>
                <w:color w:val="000000"/>
                <w:sz w:val="24"/>
              </w:rPr>
            </w:pPr>
            <w:r>
              <w:rPr>
                <w:rFonts w:ascii="宋体" w:hAnsi="宋体"/>
                <w:color w:val="000000"/>
              </w:rPr>
              <w:t>从业人数</w:t>
            </w:r>
          </w:p>
        </w:tc>
        <w:tc>
          <w:tcPr>
            <w:tcW w:w="2154" w:type="dxa"/>
            <w:gridSpan w:val="6"/>
            <w:tcBorders>
              <w:top w:val="single" w:color="000000" w:sz="4" w:space="0"/>
              <w:left w:val="single" w:color="auto" w:sz="4" w:space="0"/>
              <w:bottom w:val="single" w:color="000000" w:sz="4" w:space="0"/>
              <w:right w:val="single" w:color="000000" w:sz="4" w:space="0"/>
            </w:tcBorders>
            <w:vAlign w:val="center"/>
          </w:tcPr>
          <w:p>
            <w:pPr>
              <w:autoSpaceDN w:val="0"/>
              <w:jc w:val="left"/>
              <w:textAlignment w:val="center"/>
              <w:rPr>
                <w:rFonts w:ascii="宋体" w:hAnsi="宋体"/>
                <w:color w:val="000000"/>
                <w:sz w:val="24"/>
              </w:rPr>
            </w:pPr>
            <w:r>
              <w:rPr>
                <w:rFonts w:ascii="宋体" w:hAnsi="宋体"/>
                <w:color w:val="969696"/>
                <w:sz w:val="15"/>
                <w:szCs w:val="15"/>
              </w:rPr>
              <w:t>（</w:t>
            </w:r>
            <w:r>
              <w:rPr>
                <w:rFonts w:hint="eastAsia" w:ascii="宋体" w:hAnsi="宋体"/>
                <w:color w:val="969696"/>
                <w:sz w:val="15"/>
                <w:szCs w:val="15"/>
              </w:rPr>
              <w:t>申请机构下辖办理对公业务网点从业人员数量</w:t>
            </w:r>
            <w:r>
              <w:rPr>
                <w:rFonts w:ascii="宋体" w:hAnsi="宋体"/>
                <w:color w:val="969696"/>
                <w:sz w:val="15"/>
                <w:szCs w:val="15"/>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239" w:type="dxa"/>
            <w:vMerge w:val="continue"/>
            <w:tcBorders>
              <w:left w:val="single" w:color="000000" w:sz="4" w:space="0"/>
              <w:right w:val="single" w:color="000000" w:sz="4" w:space="0"/>
            </w:tcBorders>
            <w:vAlign w:val="center"/>
          </w:tcPr>
          <w:p/>
        </w:tc>
        <w:tc>
          <w:tcPr>
            <w:tcW w:w="1556" w:type="dxa"/>
            <w:gridSpan w:val="3"/>
            <w:vMerge w:val="restart"/>
            <w:vAlign w:val="center"/>
          </w:tcPr>
          <w:p>
            <w:pPr>
              <w:autoSpaceDN w:val="0"/>
              <w:jc w:val="left"/>
              <w:textAlignment w:val="center"/>
              <w:rPr>
                <w:rFonts w:ascii="宋体" w:hAnsi="宋体"/>
                <w:color w:val="000000"/>
              </w:rPr>
            </w:pPr>
            <w:r>
              <w:rPr>
                <w:rFonts w:hint="eastAsia" w:ascii="宋体" w:hAnsi="宋体"/>
                <w:color w:val="000000"/>
              </w:rPr>
              <w:t>拟具体承办</w:t>
            </w:r>
            <w:r>
              <w:rPr>
                <w:rFonts w:hint="eastAsia" w:ascii="宋体" w:hAnsi="宋体"/>
                <w:color w:val="000000"/>
                <w:lang w:val="en-US" w:eastAsia="zh-CN"/>
              </w:rPr>
              <w:t>国库</w:t>
            </w:r>
            <w:r>
              <w:rPr>
                <w:rFonts w:hint="eastAsia" w:ascii="宋体" w:hAnsi="宋体"/>
                <w:color w:val="000000"/>
              </w:rPr>
              <w:t>集中支付业务机构</w:t>
            </w:r>
          </w:p>
        </w:tc>
        <w:tc>
          <w:tcPr>
            <w:tcW w:w="1138" w:type="dxa"/>
            <w:gridSpan w:val="2"/>
            <w:tcBorders>
              <w:top w:val="single" w:color="000000" w:sz="4" w:space="0"/>
              <w:left w:val="single" w:color="000000" w:sz="4" w:space="0"/>
              <w:bottom w:val="single" w:color="auto" w:sz="4" w:space="0"/>
              <w:right w:val="single" w:color="auto" w:sz="4" w:space="0"/>
            </w:tcBorders>
            <w:vAlign w:val="center"/>
          </w:tcPr>
          <w:p>
            <w:pPr>
              <w:autoSpaceDN w:val="0"/>
              <w:jc w:val="left"/>
              <w:textAlignment w:val="center"/>
              <w:rPr>
                <w:rFonts w:ascii="宋体" w:hAnsi="宋体"/>
                <w:color w:val="000000"/>
                <w:szCs w:val="21"/>
              </w:rPr>
            </w:pPr>
            <w:r>
              <w:rPr>
                <w:rFonts w:hint="eastAsia" w:ascii="宋体" w:hAnsi="宋体"/>
                <w:color w:val="000000"/>
                <w:szCs w:val="21"/>
              </w:rPr>
              <w:t>机构名称</w:t>
            </w:r>
          </w:p>
        </w:tc>
        <w:tc>
          <w:tcPr>
            <w:tcW w:w="2268" w:type="dxa"/>
            <w:gridSpan w:val="8"/>
            <w:tcBorders>
              <w:top w:val="single" w:color="000000"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Cs w:val="21"/>
              </w:rPr>
            </w:pPr>
          </w:p>
        </w:tc>
        <w:tc>
          <w:tcPr>
            <w:tcW w:w="1562" w:type="dxa"/>
            <w:gridSpan w:val="5"/>
            <w:tcBorders>
              <w:top w:val="single" w:color="000000"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Cs w:val="21"/>
              </w:rPr>
            </w:pPr>
            <w:r>
              <w:rPr>
                <w:rFonts w:hint="eastAsia" w:ascii="宋体" w:hAnsi="宋体"/>
                <w:color w:val="000000"/>
                <w:szCs w:val="21"/>
              </w:rPr>
              <w:t>机构行政级别</w:t>
            </w:r>
          </w:p>
        </w:tc>
        <w:tc>
          <w:tcPr>
            <w:tcW w:w="1135" w:type="dxa"/>
            <w:gridSpan w:val="2"/>
            <w:tcBorders>
              <w:top w:val="single" w:color="000000" w:sz="4" w:space="0"/>
              <w:left w:val="single" w:color="auto" w:sz="4" w:space="0"/>
              <w:bottom w:val="single" w:color="auto" w:sz="4" w:space="0"/>
              <w:right w:val="single" w:color="000000" w:sz="4" w:space="0"/>
            </w:tcBorders>
            <w:vAlign w:val="center"/>
          </w:tcPr>
          <w:p>
            <w:pPr>
              <w:autoSpaceDN w:val="0"/>
              <w:jc w:val="left"/>
              <w:textAlignment w:val="center"/>
              <w:rPr>
                <w:rFonts w:ascii="宋体" w:hAnsi="宋体"/>
                <w:color w:val="969696"/>
                <w:sz w:val="15"/>
                <w:szCs w:val="15"/>
              </w:rPr>
            </w:pPr>
            <w:r>
              <w:rPr>
                <w:rFonts w:hint="eastAsia" w:ascii="宋体" w:hAnsi="宋体"/>
                <w:color w:val="969696"/>
                <w:sz w:val="15"/>
                <w:szCs w:val="15"/>
              </w:rPr>
              <w:t>如：一级支行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239" w:type="dxa"/>
            <w:vMerge w:val="continue"/>
            <w:tcBorders>
              <w:left w:val="single" w:color="000000" w:sz="4" w:space="0"/>
              <w:right w:val="single" w:color="000000" w:sz="4" w:space="0"/>
            </w:tcBorders>
            <w:vAlign w:val="center"/>
          </w:tcPr>
          <w:p/>
        </w:tc>
        <w:tc>
          <w:tcPr>
            <w:tcW w:w="1556" w:type="dxa"/>
            <w:gridSpan w:val="3"/>
            <w:vMerge w:val="continue"/>
            <w:vAlign w:val="center"/>
          </w:tcPr>
          <w:p>
            <w:pPr>
              <w:autoSpaceDN w:val="0"/>
              <w:jc w:val="left"/>
              <w:textAlignment w:val="center"/>
              <w:rPr>
                <w:rFonts w:ascii="宋体" w:hAnsi="宋体"/>
                <w:color w:val="000000"/>
              </w:rPr>
            </w:pPr>
          </w:p>
        </w:tc>
        <w:tc>
          <w:tcPr>
            <w:tcW w:w="1138" w:type="dxa"/>
            <w:gridSpan w:val="2"/>
            <w:tcBorders>
              <w:top w:val="single" w:color="auto" w:sz="4" w:space="0"/>
              <w:left w:val="single" w:color="000000" w:sz="4" w:space="0"/>
              <w:bottom w:val="single" w:color="auto" w:sz="4" w:space="0"/>
              <w:right w:val="single" w:color="auto" w:sz="4" w:space="0"/>
            </w:tcBorders>
            <w:vAlign w:val="center"/>
          </w:tcPr>
          <w:p>
            <w:pPr>
              <w:autoSpaceDN w:val="0"/>
              <w:jc w:val="left"/>
              <w:textAlignment w:val="center"/>
              <w:rPr>
                <w:rFonts w:ascii="宋体" w:hAnsi="宋体"/>
                <w:sz w:val="18"/>
                <w:szCs w:val="18"/>
              </w:rPr>
            </w:pPr>
            <w:r>
              <w:rPr>
                <w:rFonts w:hint="eastAsia" w:ascii="宋体" w:hAnsi="宋体"/>
                <w:sz w:val="18"/>
                <w:szCs w:val="18"/>
              </w:rPr>
              <w:t>主要负责人</w:t>
            </w:r>
          </w:p>
        </w:tc>
        <w:tc>
          <w:tcPr>
            <w:tcW w:w="1454" w:type="dxa"/>
            <w:gridSpan w:val="5"/>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sz w:val="18"/>
                <w:szCs w:val="18"/>
              </w:rPr>
            </w:pPr>
          </w:p>
        </w:tc>
        <w:tc>
          <w:tcPr>
            <w:tcW w:w="814" w:type="dxa"/>
            <w:gridSpan w:val="3"/>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sz w:val="18"/>
                <w:szCs w:val="18"/>
              </w:rPr>
            </w:pPr>
            <w:r>
              <w:rPr>
                <w:rFonts w:hint="eastAsia" w:ascii="宋体" w:hAnsi="宋体"/>
                <w:sz w:val="18"/>
                <w:szCs w:val="18"/>
              </w:rPr>
              <w:t>电话</w:t>
            </w:r>
          </w:p>
        </w:tc>
        <w:tc>
          <w:tcPr>
            <w:tcW w:w="2697" w:type="dxa"/>
            <w:gridSpan w:val="7"/>
            <w:tcBorders>
              <w:top w:val="single" w:color="auto" w:sz="4" w:space="0"/>
              <w:left w:val="single" w:color="auto" w:sz="4" w:space="0"/>
              <w:bottom w:val="single" w:color="auto" w:sz="4" w:space="0"/>
              <w:right w:val="single" w:color="000000" w:sz="4" w:space="0"/>
            </w:tcBorders>
            <w:vAlign w:val="center"/>
          </w:tcPr>
          <w:p>
            <w:pPr>
              <w:autoSpaceDN w:val="0"/>
              <w:jc w:val="left"/>
              <w:textAlignment w:val="center"/>
              <w:rPr>
                <w:rFonts w:ascii="宋体" w:hAns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239" w:type="dxa"/>
            <w:vMerge w:val="continue"/>
            <w:tcBorders>
              <w:left w:val="single" w:color="000000" w:sz="4" w:space="0"/>
              <w:bottom w:val="single" w:color="000000" w:sz="4" w:space="0"/>
              <w:right w:val="single" w:color="000000" w:sz="4" w:space="0"/>
            </w:tcBorders>
            <w:vAlign w:val="center"/>
          </w:tcPr>
          <w:p/>
        </w:tc>
        <w:tc>
          <w:tcPr>
            <w:tcW w:w="1556" w:type="dxa"/>
            <w:gridSpan w:val="3"/>
            <w:vMerge w:val="continue"/>
            <w:vAlign w:val="center"/>
          </w:tcPr>
          <w:p>
            <w:pPr>
              <w:autoSpaceDN w:val="0"/>
              <w:jc w:val="left"/>
              <w:textAlignment w:val="center"/>
              <w:rPr>
                <w:rFonts w:ascii="宋体" w:hAnsi="宋体"/>
                <w:color w:val="000000"/>
              </w:rPr>
            </w:pPr>
          </w:p>
        </w:tc>
        <w:tc>
          <w:tcPr>
            <w:tcW w:w="1138" w:type="dxa"/>
            <w:gridSpan w:val="2"/>
            <w:tcBorders>
              <w:top w:val="single" w:color="auto" w:sz="4" w:space="0"/>
              <w:left w:val="single" w:color="000000" w:sz="4" w:space="0"/>
              <w:right w:val="single" w:color="auto" w:sz="4" w:space="0"/>
            </w:tcBorders>
            <w:vAlign w:val="center"/>
          </w:tcPr>
          <w:p>
            <w:pPr>
              <w:autoSpaceDN w:val="0"/>
              <w:jc w:val="left"/>
              <w:textAlignment w:val="center"/>
              <w:rPr>
                <w:rFonts w:ascii="宋体" w:hAnsi="宋体"/>
                <w:sz w:val="18"/>
                <w:szCs w:val="18"/>
              </w:rPr>
            </w:pPr>
            <w:r>
              <w:rPr>
                <w:rFonts w:hint="eastAsia" w:ascii="宋体" w:hAnsi="宋体"/>
                <w:sz w:val="18"/>
                <w:szCs w:val="18"/>
              </w:rPr>
              <w:t>地址</w:t>
            </w:r>
          </w:p>
        </w:tc>
        <w:tc>
          <w:tcPr>
            <w:tcW w:w="4965" w:type="dxa"/>
            <w:gridSpan w:val="15"/>
            <w:tcBorders>
              <w:top w:val="single" w:color="auto" w:sz="4" w:space="0"/>
              <w:left w:val="single" w:color="auto" w:sz="4" w:space="0"/>
              <w:right w:val="single" w:color="000000" w:sz="4" w:space="0"/>
            </w:tcBorders>
            <w:vAlign w:val="center"/>
          </w:tcPr>
          <w:p>
            <w:pPr>
              <w:autoSpaceDN w:val="0"/>
              <w:jc w:val="left"/>
              <w:textAlignment w:val="center"/>
              <w:rPr>
                <w:rFonts w:ascii="宋体" w:hAns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8898" w:type="dxa"/>
            <w:gridSpan w:val="21"/>
            <w:tcBorders>
              <w:top w:val="single" w:color="000000" w:sz="4" w:space="0"/>
              <w:left w:val="single" w:color="000000" w:sz="4" w:space="0"/>
              <w:bottom w:val="single" w:color="000000" w:sz="4" w:space="0"/>
              <w:right w:val="single" w:color="000000" w:sz="4" w:space="0"/>
            </w:tcBorders>
            <w:vAlign w:val="top"/>
          </w:tcPr>
          <w:p>
            <w:pPr>
              <w:spacing w:line="560" w:lineRule="exact"/>
              <w:ind w:firstLine="360" w:firstLineChars="150"/>
              <w:rPr>
                <w:rFonts w:ascii="宋体" w:hAnsi="宋体"/>
                <w:color w:val="000000"/>
                <w:sz w:val="24"/>
              </w:rPr>
            </w:pPr>
            <w:r>
              <w:rPr>
                <w:rFonts w:ascii="宋体" w:hAnsi="宋体"/>
                <w:color w:val="000000"/>
                <w:sz w:val="24"/>
              </w:rPr>
              <w:t>所附申请资料目录：</w:t>
            </w:r>
          </w:p>
          <w:p>
            <w:pPr>
              <w:spacing w:line="560" w:lineRule="exact"/>
              <w:ind w:firstLine="360" w:firstLineChars="150"/>
              <w:rPr>
                <w:rFonts w:ascii="仿宋_GB2312" w:hAnsi="黑体" w:eastAsia="仿宋_GB2312"/>
                <w:sz w:val="24"/>
                <w:szCs w:val="24"/>
              </w:rPr>
            </w:pPr>
            <w:r>
              <w:rPr>
                <w:rFonts w:hint="eastAsia" w:ascii="仿宋_GB2312" w:hAnsi="黑体" w:eastAsia="仿宋_GB2312"/>
                <w:sz w:val="24"/>
                <w:szCs w:val="24"/>
              </w:rPr>
              <w:t>1、内蒙古自治区国库集中收付业务代理银行资格认定申请书</w:t>
            </w:r>
            <w:r>
              <w:rPr>
                <w:rFonts w:ascii="仿宋_GB2312" w:hAnsi="黑体" w:eastAsia="仿宋_GB2312"/>
                <w:sz w:val="24"/>
                <w:szCs w:val="24"/>
              </w:rPr>
              <w:t>…………</w:t>
            </w:r>
            <w:r>
              <w:rPr>
                <w:rFonts w:hint="eastAsia" w:ascii="仿宋_GB2312" w:hAnsi="黑体" w:eastAsia="仿宋_GB2312"/>
                <w:sz w:val="24"/>
                <w:szCs w:val="24"/>
              </w:rPr>
              <w:t>XX页</w:t>
            </w:r>
          </w:p>
          <w:p>
            <w:pPr>
              <w:spacing w:line="560" w:lineRule="exact"/>
              <w:ind w:firstLine="360" w:firstLineChars="150"/>
              <w:rPr>
                <w:rFonts w:ascii="仿宋_GB2312" w:hAnsi="黑体" w:eastAsia="仿宋_GB2312"/>
                <w:sz w:val="24"/>
                <w:szCs w:val="24"/>
              </w:rPr>
            </w:pPr>
            <w:r>
              <w:rPr>
                <w:rFonts w:hint="eastAsia" w:ascii="仿宋_GB2312" w:hAnsi="黑体" w:eastAsia="仿宋_GB2312"/>
                <w:sz w:val="24"/>
                <w:szCs w:val="24"/>
              </w:rPr>
              <w:t>2、金融许可证、营业执照</w:t>
            </w:r>
            <w:r>
              <w:rPr>
                <w:rFonts w:ascii="仿宋_GB2312" w:hAnsi="黑体" w:eastAsia="仿宋_GB2312"/>
                <w:sz w:val="24"/>
                <w:szCs w:val="24"/>
              </w:rPr>
              <w:t>…………………………………………………</w:t>
            </w:r>
            <w:r>
              <w:rPr>
                <w:rFonts w:hint="eastAsia" w:ascii="仿宋_GB2312" w:hAnsi="黑体" w:eastAsia="仿宋_GB2312"/>
                <w:sz w:val="24"/>
                <w:szCs w:val="24"/>
              </w:rPr>
              <w:t>XX页</w:t>
            </w:r>
          </w:p>
          <w:p>
            <w:pPr>
              <w:spacing w:line="560" w:lineRule="exact"/>
              <w:ind w:firstLine="360" w:firstLineChars="150"/>
              <w:rPr>
                <w:rFonts w:ascii="仿宋_GB2312" w:hAnsi="黑体" w:eastAsia="仿宋_GB2312"/>
                <w:sz w:val="24"/>
                <w:szCs w:val="24"/>
              </w:rPr>
            </w:pPr>
            <w:r>
              <w:rPr>
                <w:rFonts w:hint="eastAsia" w:ascii="仿宋_GB2312" w:hAnsi="黑体" w:eastAsia="仿宋_GB2312"/>
                <w:sz w:val="24"/>
                <w:szCs w:val="24"/>
              </w:rPr>
              <w:t>3、申请机构法定代表人或主要负责人身份证明文件</w:t>
            </w:r>
            <w:r>
              <w:rPr>
                <w:rFonts w:ascii="仿宋_GB2312" w:hAnsi="黑体" w:eastAsia="仿宋_GB2312"/>
                <w:sz w:val="24"/>
                <w:szCs w:val="24"/>
              </w:rPr>
              <w:t>……………………</w:t>
            </w:r>
            <w:r>
              <w:rPr>
                <w:rFonts w:hint="eastAsia" w:ascii="仿宋_GB2312" w:hAnsi="黑体" w:eastAsia="仿宋_GB2312"/>
                <w:sz w:val="24"/>
                <w:szCs w:val="24"/>
              </w:rPr>
              <w:t>XX页</w:t>
            </w:r>
          </w:p>
          <w:p>
            <w:pPr>
              <w:spacing w:line="560" w:lineRule="exact"/>
              <w:ind w:firstLine="360" w:firstLineChars="150"/>
              <w:rPr>
                <w:rFonts w:ascii="仿宋_GB2312" w:hAnsi="黑体" w:eastAsia="仿宋_GB2312"/>
                <w:sz w:val="24"/>
                <w:szCs w:val="24"/>
              </w:rPr>
            </w:pPr>
            <w:r>
              <w:rPr>
                <w:rFonts w:hint="eastAsia" w:ascii="仿宋_GB2312" w:hAnsi="黑体" w:eastAsia="仿宋_GB2312"/>
                <w:sz w:val="24"/>
                <w:szCs w:val="24"/>
              </w:rPr>
              <w:t>4、申请前两个年度央行金融</w:t>
            </w:r>
            <w:r>
              <w:rPr>
                <w:rFonts w:hint="eastAsia" w:ascii="仿宋_GB2312" w:hAnsi="黑体" w:eastAsia="仿宋_GB2312"/>
                <w:sz w:val="24"/>
                <w:szCs w:val="24"/>
                <w:lang w:val="en-US" w:eastAsia="zh-CN"/>
              </w:rPr>
              <w:t>机构</w:t>
            </w:r>
            <w:r>
              <w:rPr>
                <w:rFonts w:hint="eastAsia" w:ascii="仿宋_GB2312" w:hAnsi="黑体" w:eastAsia="仿宋_GB2312"/>
                <w:sz w:val="24"/>
                <w:szCs w:val="24"/>
              </w:rPr>
              <w:t>评级结果</w:t>
            </w:r>
            <w:r>
              <w:rPr>
                <w:rFonts w:ascii="仿宋_GB2312" w:hAnsi="黑体" w:eastAsia="仿宋_GB2312"/>
                <w:sz w:val="24"/>
                <w:szCs w:val="24"/>
              </w:rPr>
              <w:t>………………………………</w:t>
            </w:r>
            <w:r>
              <w:rPr>
                <w:rFonts w:hint="eastAsia" w:ascii="仿宋_GB2312" w:hAnsi="黑体" w:eastAsia="仿宋_GB2312"/>
                <w:sz w:val="24"/>
                <w:szCs w:val="24"/>
              </w:rPr>
              <w:t>XX页</w:t>
            </w:r>
          </w:p>
          <w:p>
            <w:pPr>
              <w:spacing w:line="560" w:lineRule="exact"/>
              <w:ind w:firstLine="360" w:firstLineChars="150"/>
              <w:rPr>
                <w:rFonts w:ascii="仿宋_GB2312" w:hAnsi="黑体" w:eastAsia="仿宋_GB2312"/>
                <w:sz w:val="24"/>
                <w:szCs w:val="24"/>
              </w:rPr>
            </w:pPr>
            <w:r>
              <w:rPr>
                <w:rFonts w:hint="eastAsia" w:ascii="仿宋_GB2312" w:hAnsi="黑体" w:eastAsia="仿宋_GB2312"/>
                <w:sz w:val="24"/>
                <w:szCs w:val="24"/>
              </w:rPr>
              <w:t>5、申请前两个年度申请人境内资产负债表、利润表等财务报表</w:t>
            </w:r>
            <w:r>
              <w:rPr>
                <w:rFonts w:ascii="仿宋_GB2312" w:hAnsi="黑体" w:eastAsia="仿宋_GB2312"/>
                <w:sz w:val="24"/>
                <w:szCs w:val="24"/>
              </w:rPr>
              <w:t>………</w:t>
            </w:r>
            <w:r>
              <w:rPr>
                <w:rFonts w:hint="eastAsia" w:ascii="仿宋_GB2312" w:hAnsi="黑体" w:eastAsia="仿宋_GB2312"/>
                <w:sz w:val="24"/>
                <w:szCs w:val="24"/>
              </w:rPr>
              <w:t xml:space="preserve"> XX页</w:t>
            </w:r>
          </w:p>
          <w:p>
            <w:pPr>
              <w:spacing w:line="560" w:lineRule="exact"/>
              <w:rPr>
                <w:rFonts w:ascii="仿宋_GB2312" w:hAnsi="黑体" w:eastAsia="仿宋_GB2312"/>
                <w:sz w:val="24"/>
                <w:szCs w:val="24"/>
              </w:rPr>
            </w:pPr>
            <w:r>
              <w:rPr>
                <w:rFonts w:hint="eastAsia" w:ascii="仿宋_GB2312" w:hAnsi="黑体" w:eastAsia="仿宋_GB2312"/>
                <w:sz w:val="24"/>
                <w:szCs w:val="24"/>
              </w:rPr>
              <w:t xml:space="preserve">   6、申请前两个年度金融监管、审计等监管审计报告</w:t>
            </w:r>
            <w:r>
              <w:rPr>
                <w:rFonts w:ascii="仿宋_GB2312" w:hAnsi="黑体" w:eastAsia="仿宋_GB2312"/>
                <w:sz w:val="24"/>
                <w:szCs w:val="24"/>
              </w:rPr>
              <w:t>……………………</w:t>
            </w:r>
            <w:r>
              <w:rPr>
                <w:rFonts w:hint="eastAsia" w:ascii="仿宋_GB2312" w:hAnsi="黑体" w:eastAsia="仿宋_GB2312"/>
                <w:sz w:val="24"/>
                <w:szCs w:val="24"/>
              </w:rPr>
              <w:t>XX页</w:t>
            </w:r>
          </w:p>
          <w:p>
            <w:pPr>
              <w:spacing w:line="560" w:lineRule="exact"/>
              <w:ind w:firstLine="360" w:firstLineChars="150"/>
              <w:rPr>
                <w:rFonts w:hint="eastAsia" w:ascii="仿宋_GB2312" w:hAnsi="黑体" w:eastAsia="仿宋_GB2312"/>
                <w:sz w:val="24"/>
                <w:szCs w:val="24"/>
                <w:lang w:val="en-US" w:eastAsia="zh-CN"/>
              </w:rPr>
            </w:pPr>
            <w:r>
              <w:rPr>
                <w:rFonts w:hint="eastAsia" w:ascii="仿宋_GB2312" w:hAnsi="黑体" w:eastAsia="仿宋_GB2312"/>
                <w:sz w:val="24"/>
                <w:szCs w:val="24"/>
              </w:rPr>
              <w:t>7、申请前两个年度与代理国库业务</w:t>
            </w:r>
            <w:r>
              <w:rPr>
                <w:rFonts w:hint="eastAsia" w:ascii="仿宋_GB2312" w:hAnsi="黑体" w:eastAsia="仿宋_GB2312"/>
                <w:sz w:val="24"/>
                <w:szCs w:val="24"/>
                <w:lang w:eastAsia="zh-CN"/>
              </w:rPr>
              <w:t>、</w:t>
            </w:r>
            <w:r>
              <w:rPr>
                <w:rFonts w:hint="eastAsia" w:ascii="仿宋_GB2312" w:hAnsi="黑体" w:eastAsia="仿宋_GB2312"/>
                <w:sz w:val="24"/>
                <w:szCs w:val="24"/>
              </w:rPr>
              <w:t>支付结算方面相关的违法行为案件等情</w:t>
            </w:r>
            <w:r>
              <w:rPr>
                <w:rFonts w:hint="eastAsia" w:ascii="仿宋_GB2312" w:hAnsi="黑体" w:eastAsia="仿宋_GB2312"/>
                <w:sz w:val="24"/>
                <w:szCs w:val="24"/>
                <w:lang w:val="en-US" w:eastAsia="zh-CN"/>
              </w:rPr>
              <w:t xml:space="preserve"> </w:t>
            </w:r>
          </w:p>
          <w:p>
            <w:pPr>
              <w:spacing w:line="560" w:lineRule="exact"/>
              <w:ind w:firstLine="360" w:firstLineChars="150"/>
              <w:rPr>
                <w:rFonts w:ascii="仿宋_GB2312" w:hAnsi="黑体" w:eastAsia="仿宋_GB2312"/>
                <w:sz w:val="24"/>
                <w:szCs w:val="24"/>
              </w:rPr>
            </w:pPr>
            <w:r>
              <w:rPr>
                <w:rFonts w:hint="eastAsia" w:ascii="仿宋_GB2312" w:hAnsi="黑体" w:eastAsia="仿宋_GB2312"/>
                <w:sz w:val="24"/>
                <w:szCs w:val="24"/>
                <w:lang w:val="en-US" w:eastAsia="zh-CN"/>
              </w:rPr>
              <w:t xml:space="preserve">   </w:t>
            </w:r>
            <w:r>
              <w:rPr>
                <w:rFonts w:hint="eastAsia" w:ascii="仿宋_GB2312" w:hAnsi="黑体" w:eastAsia="仿宋_GB2312"/>
                <w:sz w:val="24"/>
                <w:szCs w:val="24"/>
              </w:rPr>
              <w:t>况</w:t>
            </w:r>
            <w:r>
              <w:rPr>
                <w:rFonts w:ascii="仿宋_GB2312" w:hAnsi="黑体" w:eastAsia="仿宋_GB2312"/>
                <w:sz w:val="24"/>
                <w:szCs w:val="24"/>
              </w:rPr>
              <w:t>…………………………………………………………………………</w:t>
            </w:r>
            <w:r>
              <w:rPr>
                <w:rFonts w:hint="eastAsia" w:ascii="仿宋_GB2312" w:hAnsi="黑体" w:eastAsia="仿宋_GB2312"/>
                <w:sz w:val="24"/>
                <w:szCs w:val="24"/>
              </w:rPr>
              <w:t>XX页</w:t>
            </w:r>
          </w:p>
          <w:p>
            <w:pPr>
              <w:spacing w:line="560" w:lineRule="exact"/>
              <w:ind w:firstLine="360" w:firstLineChars="150"/>
              <w:rPr>
                <w:rFonts w:ascii="仿宋_GB2312" w:hAnsi="黑体" w:eastAsia="仿宋_GB2312"/>
                <w:sz w:val="24"/>
                <w:szCs w:val="24"/>
              </w:rPr>
            </w:pPr>
            <w:r>
              <w:rPr>
                <w:rFonts w:hint="eastAsia" w:ascii="仿宋_GB2312" w:hAnsi="黑体" w:eastAsia="仿宋_GB2312"/>
                <w:sz w:val="24"/>
                <w:szCs w:val="24"/>
              </w:rPr>
              <w:t>8、相关指标统计表</w:t>
            </w:r>
            <w:r>
              <w:rPr>
                <w:rFonts w:ascii="仿宋_GB2312" w:hAnsi="黑体" w:eastAsia="仿宋_GB2312"/>
                <w:sz w:val="24"/>
                <w:szCs w:val="24"/>
              </w:rPr>
              <w:t>…………………………………………………………</w:t>
            </w:r>
            <w:r>
              <w:rPr>
                <w:rFonts w:hint="eastAsia" w:ascii="仿宋_GB2312" w:hAnsi="黑体" w:eastAsia="仿宋_GB2312"/>
                <w:sz w:val="24"/>
                <w:szCs w:val="24"/>
              </w:rPr>
              <w:t>XX页</w:t>
            </w:r>
          </w:p>
          <w:p>
            <w:pPr>
              <w:spacing w:line="560" w:lineRule="exact"/>
              <w:ind w:firstLine="360" w:firstLineChars="150"/>
              <w:rPr>
                <w:rFonts w:ascii="仿宋_GB2312" w:hAnsi="黑体" w:eastAsia="仿宋_GB2312"/>
                <w:sz w:val="24"/>
                <w:szCs w:val="24"/>
              </w:rPr>
            </w:pPr>
            <w:r>
              <w:rPr>
                <w:rFonts w:hint="eastAsia" w:ascii="仿宋_GB2312" w:hAnsi="黑体" w:eastAsia="仿宋_GB2312"/>
                <w:sz w:val="24"/>
                <w:szCs w:val="24"/>
              </w:rPr>
              <w:t>9、申请材料真实性声明</w:t>
            </w:r>
            <w:r>
              <w:rPr>
                <w:rFonts w:ascii="仿宋_GB2312" w:hAnsi="黑体" w:eastAsia="仿宋_GB2312"/>
                <w:sz w:val="24"/>
                <w:szCs w:val="24"/>
              </w:rPr>
              <w:t>…………………………………………………</w:t>
            </w:r>
            <w:r>
              <w:rPr>
                <w:rFonts w:hint="eastAsia" w:ascii="仿宋_GB2312" w:hAnsi="黑体" w:eastAsia="仿宋_GB2312"/>
                <w:sz w:val="24"/>
                <w:szCs w:val="24"/>
              </w:rPr>
              <w:t>XX页</w:t>
            </w:r>
          </w:p>
          <w:p>
            <w:pPr>
              <w:spacing w:line="560" w:lineRule="exact"/>
              <w:ind w:firstLine="360" w:firstLineChars="150"/>
              <w:rPr>
                <w:rFonts w:ascii="仿宋_GB2312" w:hAnsi="黑体" w:eastAsia="仿宋_GB2312"/>
                <w:sz w:val="24"/>
                <w:szCs w:val="24"/>
              </w:rPr>
            </w:pPr>
            <w:r>
              <w:rPr>
                <w:rFonts w:hint="eastAsia" w:ascii="仿宋_GB2312" w:hAnsi="黑体" w:eastAsia="仿宋_GB2312"/>
                <w:sz w:val="24"/>
                <w:szCs w:val="24"/>
              </w:rPr>
              <w:t>10、其他方面的材料</w:t>
            </w:r>
            <w:r>
              <w:rPr>
                <w:rFonts w:ascii="仿宋_GB2312" w:hAnsi="黑体" w:eastAsia="仿宋_GB2312"/>
                <w:sz w:val="24"/>
                <w:szCs w:val="24"/>
              </w:rPr>
              <w:t>………………………………………………………</w:t>
            </w:r>
            <w:r>
              <w:rPr>
                <w:rFonts w:hint="eastAsia" w:ascii="仿宋_GB2312" w:hAnsi="黑体" w:eastAsia="仿宋_GB2312"/>
                <w:sz w:val="24"/>
                <w:szCs w:val="24"/>
              </w:rPr>
              <w:t>XX页</w:t>
            </w:r>
          </w:p>
          <w:p>
            <w:pPr>
              <w:autoSpaceDN w:val="0"/>
              <w:jc w:val="left"/>
              <w:textAlignment w:val="top"/>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01" w:type="dxa"/>
            <w:gridSpan w:val="2"/>
            <w:tcBorders>
              <w:left w:val="single" w:color="000000" w:sz="4" w:space="0"/>
              <w:bottom w:val="single" w:color="000000" w:sz="4" w:space="0"/>
            </w:tcBorders>
            <w:vAlign w:val="center"/>
          </w:tcPr>
          <w:p>
            <w:pPr>
              <w:autoSpaceDN w:val="0"/>
              <w:jc w:val="left"/>
              <w:textAlignment w:val="center"/>
              <w:rPr>
                <w:rFonts w:ascii="宋体" w:hAnsi="宋体"/>
                <w:color w:val="000000"/>
                <w:sz w:val="24"/>
              </w:rPr>
            </w:pPr>
            <w:r>
              <w:rPr>
                <w:rFonts w:ascii="宋体" w:hAnsi="宋体"/>
                <w:color w:val="000000"/>
                <w:sz w:val="24"/>
              </w:rPr>
              <w:t>文书送达方式</w:t>
            </w:r>
          </w:p>
        </w:tc>
        <w:tc>
          <w:tcPr>
            <w:tcW w:w="7197" w:type="dxa"/>
            <w:gridSpan w:val="19"/>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4"/>
              </w:rPr>
            </w:pPr>
            <w:r>
              <w:rPr>
                <w:rFonts w:ascii="仿宋_GB2312" w:hAnsi="仿宋_GB2312" w:eastAsia="仿宋_GB2312"/>
                <w:color w:val="000000"/>
                <w:sz w:val="24"/>
              </w:rPr>
              <w:t>□邮寄　　　□自行领取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01" w:type="dxa"/>
            <w:gridSpan w:val="2"/>
            <w:vMerge w:val="restart"/>
            <w:tcBorders>
              <w:left w:val="single" w:color="000000" w:sz="4" w:space="0"/>
              <w:bottom w:val="single" w:color="000000" w:sz="4" w:space="0"/>
            </w:tcBorders>
            <w:vAlign w:val="center"/>
          </w:tcPr>
          <w:p>
            <w:pPr>
              <w:autoSpaceDN w:val="0"/>
              <w:jc w:val="left"/>
              <w:textAlignment w:val="center"/>
              <w:rPr>
                <w:rFonts w:ascii="宋体" w:hAnsi="宋体"/>
                <w:color w:val="000000"/>
                <w:sz w:val="24"/>
              </w:rPr>
            </w:pPr>
            <w:r>
              <w:rPr>
                <w:rFonts w:ascii="宋体" w:hAnsi="宋体"/>
                <w:color w:val="000000"/>
                <w:sz w:val="24"/>
              </w:rPr>
              <w:t>通讯地址</w:t>
            </w:r>
          </w:p>
        </w:tc>
        <w:tc>
          <w:tcPr>
            <w:tcW w:w="148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rPr>
            </w:pPr>
            <w:r>
              <w:rPr>
                <w:rFonts w:ascii="宋体" w:hAnsi="宋体"/>
                <w:color w:val="000000"/>
                <w:sz w:val="24"/>
              </w:rPr>
              <w:t>地址及邮编</w:t>
            </w:r>
          </w:p>
        </w:tc>
        <w:tc>
          <w:tcPr>
            <w:tcW w:w="5712" w:type="dxa"/>
            <w:gridSpan w:val="16"/>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rPr>
            </w:pPr>
            <w:r>
              <w:rPr>
                <w:rFonts w:ascii="宋体" w:hAnsi="宋体"/>
                <w:color w:val="969696"/>
              </w:rPr>
              <w:t>（文书送达方式选择“邮寄”时，通讯地址应为接收资格认定相关文书的地址）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01" w:type="dxa"/>
            <w:gridSpan w:val="2"/>
            <w:vMerge w:val="continue"/>
            <w:tcBorders>
              <w:left w:val="single" w:color="000000" w:sz="4" w:space="0"/>
              <w:bottom w:val="single" w:color="000000" w:sz="4" w:space="0"/>
            </w:tcBorders>
            <w:vAlign w:val="center"/>
          </w:tcPr>
          <w:p/>
        </w:tc>
        <w:tc>
          <w:tcPr>
            <w:tcW w:w="1485" w:type="dxa"/>
            <w:gridSpan w:val="3"/>
            <w:tcBorders>
              <w:top w:val="single" w:color="000000" w:sz="4" w:space="0"/>
              <w:left w:val="single" w:color="000000" w:sz="4" w:space="0"/>
              <w:right w:val="single" w:color="000000" w:sz="4" w:space="0"/>
            </w:tcBorders>
            <w:vAlign w:val="center"/>
          </w:tcPr>
          <w:p>
            <w:pPr>
              <w:autoSpaceDN w:val="0"/>
              <w:jc w:val="left"/>
              <w:textAlignment w:val="center"/>
              <w:rPr>
                <w:rFonts w:ascii="宋体" w:hAnsi="宋体"/>
                <w:color w:val="000000"/>
                <w:sz w:val="24"/>
              </w:rPr>
            </w:pPr>
            <w:r>
              <w:rPr>
                <w:rFonts w:ascii="宋体" w:hAnsi="宋体"/>
                <w:color w:val="000000"/>
                <w:sz w:val="24"/>
              </w:rPr>
              <w:t>电子邮箱</w:t>
            </w:r>
          </w:p>
        </w:tc>
        <w:tc>
          <w:tcPr>
            <w:tcW w:w="5712" w:type="dxa"/>
            <w:gridSpan w:val="16"/>
            <w:tcBorders>
              <w:top w:val="single" w:color="000000" w:sz="4" w:space="0"/>
              <w:left w:val="single" w:color="000000" w:sz="4" w:space="0"/>
              <w:right w:val="single" w:color="000000" w:sz="4" w:space="0"/>
            </w:tcBorders>
            <w:vAlign w:val="center"/>
          </w:tcPr>
          <w:p>
            <w:pPr>
              <w:autoSpaceDN w:val="0"/>
              <w:jc w:val="left"/>
              <w:textAlignment w:val="center"/>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9" w:hRule="atLeast"/>
        </w:trPr>
        <w:tc>
          <w:tcPr>
            <w:tcW w:w="4431" w:type="dxa"/>
            <w:gridSpan w:val="7"/>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sz w:val="24"/>
                <w:szCs w:val="24"/>
              </w:rPr>
            </w:pPr>
            <w:r>
              <w:rPr>
                <w:rFonts w:ascii="宋体" w:hAnsi="宋体"/>
                <w:color w:val="000000"/>
                <w:sz w:val="24"/>
              </w:rPr>
              <w:t>法定代表人</w:t>
            </w:r>
            <w:r>
              <w:rPr>
                <w:rFonts w:ascii="宋体" w:hAnsi="宋体"/>
                <w:color w:val="000000"/>
                <w:sz w:val="24"/>
              </w:rPr>
              <w:br w:type="textWrapping"/>
            </w:r>
            <w:r>
              <w:rPr>
                <w:rFonts w:ascii="宋体" w:hAnsi="宋体"/>
                <w:color w:val="000000"/>
                <w:sz w:val="24"/>
              </w:rPr>
              <w:t>或授权代理人签章：</w:t>
            </w:r>
            <w:r>
              <w:rPr>
                <w:rFonts w:ascii="宋体" w:hAnsi="宋体"/>
                <w:color w:val="000000"/>
                <w:sz w:val="24"/>
              </w:rPr>
              <w:br w:type="textWrapping"/>
            </w:r>
          </w:p>
          <w:p>
            <w:pPr>
              <w:autoSpaceDN w:val="0"/>
              <w:jc w:val="left"/>
              <w:textAlignment w:val="center"/>
              <w:rPr>
                <w:rFonts w:ascii="宋体" w:hAnsi="宋体"/>
                <w:sz w:val="24"/>
                <w:szCs w:val="24"/>
              </w:rPr>
            </w:pPr>
          </w:p>
          <w:p>
            <w:pPr>
              <w:autoSpaceDN w:val="0"/>
              <w:jc w:val="left"/>
              <w:textAlignment w:val="center"/>
              <w:rPr>
                <w:rFonts w:ascii="宋体" w:hAnsi="宋体"/>
                <w:color w:val="000000"/>
                <w:sz w:val="24"/>
              </w:rPr>
            </w:pPr>
            <w:r>
              <w:rPr>
                <w:rFonts w:hint="eastAsia" w:ascii="宋体" w:hAnsi="宋体"/>
                <w:sz w:val="24"/>
                <w:szCs w:val="24"/>
              </w:rPr>
              <w:t>注：委托代理人签字（盖章）时，应当同时提供法人代表的授权委托书。</w:t>
            </w:r>
          </w:p>
        </w:tc>
        <w:tc>
          <w:tcPr>
            <w:tcW w:w="4467" w:type="dxa"/>
            <w:gridSpan w:val="14"/>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rPr>
            </w:pPr>
            <w:r>
              <w:rPr>
                <w:rFonts w:ascii="宋体" w:hAnsi="宋体"/>
                <w:color w:val="000000"/>
                <w:sz w:val="24"/>
              </w:rPr>
              <w:t>单位公章：　</w:t>
            </w:r>
          </w:p>
        </w:tc>
      </w:tr>
    </w:tbl>
    <w:p>
      <w:pPr>
        <w:pStyle w:val="4"/>
        <w:spacing w:before="0" w:beforeAutospacing="0" w:after="0" w:afterAutospacing="0" w:line="520" w:lineRule="exact"/>
        <w:rPr>
          <w:rFonts w:ascii="宋体" w:hAnsi="宋体" w:eastAsia="宋体"/>
          <w:sz w:val="21"/>
          <w:szCs w:val="21"/>
        </w:rPr>
      </w:pPr>
      <w:r>
        <w:rPr>
          <w:rFonts w:hint="eastAsia" w:ascii="宋体" w:hAnsi="宋体" w:eastAsia="宋体"/>
          <w:sz w:val="21"/>
          <w:szCs w:val="21"/>
        </w:rPr>
        <w:t>申请表正反面打印。</w:t>
      </w:r>
    </w:p>
    <w:p>
      <w:pPr>
        <w:pStyle w:val="4"/>
        <w:spacing w:before="0" w:beforeAutospacing="0" w:after="0" w:afterAutospacing="0" w:line="520" w:lineRule="exact"/>
        <w:jc w:val="center"/>
        <w:rPr>
          <w:rFonts w:ascii="方正小标宋_GBK" w:hAnsi="方正小标宋_GBK" w:eastAsia="方正小标宋_GBK"/>
          <w:sz w:val="36"/>
          <w:szCs w:val="36"/>
        </w:rPr>
      </w:pPr>
    </w:p>
    <w:p>
      <w:pPr>
        <w:pStyle w:val="4"/>
        <w:spacing w:before="0" w:beforeAutospacing="0" w:after="0" w:afterAutospacing="0" w:line="520" w:lineRule="exact"/>
        <w:jc w:val="center"/>
        <w:rPr>
          <w:rFonts w:ascii="方正小标宋_GBK" w:hAnsi="方正小标宋_GBK" w:eastAsia="方正小标宋_GBK"/>
          <w:sz w:val="36"/>
          <w:szCs w:val="36"/>
        </w:rPr>
      </w:pPr>
    </w:p>
    <w:p>
      <w:pPr>
        <w:pStyle w:val="4"/>
        <w:spacing w:before="0" w:beforeAutospacing="0" w:after="0" w:afterAutospacing="0" w:line="520" w:lineRule="exact"/>
        <w:jc w:val="center"/>
        <w:rPr>
          <w:rFonts w:ascii="方正小标宋_GBK" w:hAnsi="方正小标宋_GBK" w:eastAsia="方正小标宋_GBK"/>
          <w:sz w:val="36"/>
          <w:szCs w:val="36"/>
        </w:rPr>
      </w:pPr>
    </w:p>
    <w:p>
      <w:pPr>
        <w:pStyle w:val="4"/>
        <w:spacing w:before="0" w:beforeAutospacing="0" w:after="0" w:afterAutospacing="0" w:line="520" w:lineRule="exact"/>
        <w:jc w:val="center"/>
        <w:rPr>
          <w:rFonts w:ascii="方正小标宋_GBK" w:hAnsi="方正小标宋_GBK" w:eastAsia="方正小标宋_GBK"/>
          <w:sz w:val="36"/>
          <w:szCs w:val="36"/>
        </w:rPr>
      </w:pPr>
    </w:p>
    <w:p>
      <w:pPr>
        <w:spacing w:line="560" w:lineRule="exact"/>
        <w:ind w:firstLine="450" w:firstLineChars="150"/>
        <w:rPr>
          <w:rFonts w:ascii="仿宋_GB2312" w:hAnsi="黑体" w:eastAsia="仿宋_GB2312"/>
          <w:sz w:val="30"/>
          <w:szCs w:val="30"/>
        </w:rPr>
      </w:pPr>
    </w:p>
    <w:p>
      <w:pPr>
        <w:spacing w:line="560" w:lineRule="exact"/>
        <w:ind w:firstLine="450" w:firstLineChars="150"/>
        <w:rPr>
          <w:rFonts w:ascii="仿宋_GB2312" w:hAnsi="黑体" w:eastAsia="仿宋_GB2312"/>
          <w:sz w:val="30"/>
          <w:szCs w:val="30"/>
        </w:rPr>
      </w:pPr>
    </w:p>
    <w:p>
      <w:pPr>
        <w:spacing w:line="560" w:lineRule="exact"/>
        <w:ind w:firstLine="450" w:firstLineChars="150"/>
        <w:rPr>
          <w:rFonts w:ascii="仿宋_GB2312" w:hAnsi="黑体" w:eastAsia="仿宋_GB2312"/>
          <w:sz w:val="30"/>
          <w:szCs w:val="30"/>
        </w:rPr>
      </w:pPr>
    </w:p>
    <w:p>
      <w:pPr>
        <w:spacing w:line="560" w:lineRule="exact"/>
        <w:ind w:firstLine="450" w:firstLineChars="150"/>
        <w:rPr>
          <w:rFonts w:ascii="仿宋_GB2312" w:hAnsi="黑体" w:eastAsia="仿宋_GB2312"/>
          <w:sz w:val="30"/>
          <w:szCs w:val="30"/>
        </w:rPr>
      </w:pPr>
    </w:p>
    <w:p>
      <w:pPr>
        <w:spacing w:line="560" w:lineRule="exact"/>
        <w:ind w:firstLine="450" w:firstLineChars="150"/>
        <w:rPr>
          <w:rFonts w:ascii="仿宋_GB2312" w:hAnsi="黑体" w:eastAsia="仿宋_GB2312"/>
          <w:sz w:val="30"/>
          <w:szCs w:val="30"/>
        </w:rPr>
      </w:pPr>
      <w:r>
        <w:rPr>
          <w:rFonts w:hint="eastAsia" w:ascii="仿宋_GB2312" w:hAnsi="黑体" w:eastAsia="仿宋_GB2312"/>
          <w:sz w:val="30"/>
          <w:szCs w:val="30"/>
        </w:rPr>
        <w:t>2、申请书</w:t>
      </w:r>
    </w:p>
    <w:p>
      <w:pPr>
        <w:spacing w:line="560" w:lineRule="exact"/>
        <w:jc w:val="center"/>
        <w:rPr>
          <w:rFonts w:ascii="仿宋_GB2312" w:hAnsi="黑体" w:eastAsia="仿宋_GB2312"/>
          <w:b/>
          <w:sz w:val="44"/>
          <w:szCs w:val="44"/>
        </w:rPr>
      </w:pPr>
    </w:p>
    <w:p>
      <w:pPr>
        <w:spacing w:line="560" w:lineRule="exact"/>
        <w:jc w:val="center"/>
        <w:rPr>
          <w:rFonts w:ascii="仿宋_GB2312" w:hAnsi="黑体" w:eastAsia="仿宋_GB2312"/>
          <w:b/>
          <w:sz w:val="44"/>
          <w:szCs w:val="44"/>
        </w:rPr>
      </w:pPr>
      <w:r>
        <w:rPr>
          <w:rFonts w:hint="eastAsia" w:ascii="仿宋_GB2312" w:hAnsi="黑体" w:eastAsia="仿宋_GB2312"/>
          <w:b/>
          <w:sz w:val="44"/>
          <w:szCs w:val="44"/>
        </w:rPr>
        <w:t>XXX银行</w:t>
      </w:r>
    </w:p>
    <w:p>
      <w:pPr>
        <w:spacing w:line="560" w:lineRule="exact"/>
        <w:jc w:val="center"/>
        <w:rPr>
          <w:rFonts w:ascii="仿宋_GB2312" w:hAnsi="黑体" w:eastAsia="仿宋_GB2312"/>
          <w:sz w:val="32"/>
          <w:szCs w:val="32"/>
        </w:rPr>
      </w:pPr>
      <w:r>
        <w:rPr>
          <w:rFonts w:ascii="仿宋_GB2312" w:hAnsi="黑体" w:eastAsia="仿宋_GB2312" w:cs="黑体"/>
          <w:kern w:val="2"/>
          <w:sz w:val="32"/>
          <w:szCs w:val="32"/>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-243840</wp:posOffset>
                </wp:positionH>
                <wp:positionV relativeFrom="paragraph">
                  <wp:posOffset>14605</wp:posOffset>
                </wp:positionV>
                <wp:extent cx="5425440" cy="7620"/>
                <wp:effectExtent l="0" t="0" r="0" b="0"/>
                <wp:wrapNone/>
                <wp:docPr id="5" name="Straight Connector 123"/>
                <wp:cNvGraphicFramePr/>
                <a:graphic xmlns:a="http://schemas.openxmlformats.org/drawingml/2006/main">
                  <a:graphicData uri="http://schemas.microsoft.com/office/word/2010/wordprocessingShape">
                    <wps:wsp>
                      <wps:cNvCnPr/>
                      <wps:spPr>
                        <a:xfrm flipV="1">
                          <a:off x="0" y="0"/>
                          <a:ext cx="5425440" cy="7620"/>
                        </a:xfrm>
                        <a:prstGeom prst="straightConnector1">
                          <a:avLst/>
                        </a:prstGeom>
                        <a:ln w="9525" cap="flat" cmpd="sng">
                          <a:solidFill>
                            <a:srgbClr val="FF0000"/>
                          </a:solidFill>
                          <a:prstDash val="solid"/>
                          <a:headEnd type="none" w="med" len="med"/>
                          <a:tailEnd type="none" w="med" len="med"/>
                        </a:ln>
                        <a:effectLst/>
                      </wps:spPr>
                      <wps:bodyPr/>
                    </wps:wsp>
                  </a:graphicData>
                </a:graphic>
              </wp:anchor>
            </w:drawing>
          </mc:Choice>
          <mc:Fallback>
            <w:pict>
              <v:shape id="Straight Connector 123" o:spid="_x0000_s1026" o:spt="32" type="#_x0000_t32" style="position:absolute;left:0pt;flip:y;margin-left:-19.2pt;margin-top:1.15pt;height:0.6pt;width:427.2pt;z-index:251662336;mso-width-relative:page;mso-height-relative:page;" filled="f" stroked="t" coordsize="21600,21600" o:gfxdata="UEsDBAoAAAAAAIdO4kAAAAAAAAAAAAAAAAAEAAAAZHJzL1BLAwQUAAAACACHTuJAF0vA3NYAAAAH&#10;AQAADwAAAGRycy9kb3ducmV2LnhtbE2PQUvDQBSE74L/YXmCt3aTRkuIeelBaUEEIVXw+ppdk2D2&#10;bchu0+qv93myx2GGmW/KzdkNarZT6D0jpMsElOXGm55bhPe37SIHFSKxocGzRfi2ATbV9VVJhfEn&#10;ru28j62SEg4FIXQxjoXWoemso7D0o2XxPv3kKIqcWm0mOkm5G/QqSdbaUc+y0NFoHzvbfO2PDmG3&#10;e3LtluY0hISef15edV1/zIi3N2nyACrac/wPwx++oEMlTAd/ZBPUgLDI8juJIqwyUOLn6Vq+HRCy&#10;e9BVqS/5q19QSwMEFAAAAAgAh07iQOMEXvPYAQAAuAMAAA4AAABkcnMvZTJvRG9jLnhtbK1TTa/T&#10;MBC8I/EfLN9p0tA+IGr6Di3lgqDSA+5b20ks+Ute07T/nrVTqgdcECIHax17xzPj8ebxYg07q4ja&#10;u44vFzVnygkvtRs6/vXL4dVbzjCBk2C8Ux2/KuSP25cvNlNoVeNHb6SKjEActlPo+JhSaKsKxags&#10;4MIH5Wix99FComkcKhlhInRrqqauH6rJRxmiFwqR/u7nRb4t+H2vRPrc96gSMx0nbqmMsYynPFbb&#10;DbRDhDBqcaMB/8DCgnZ06B1qDwnY96j/gLJaRI++TwvhbeX7XgtVNJCaZf2bmqcRgipayBwMd5vw&#10;/8GKT+djZFp2fM2ZA0tX9JQi6GFMbOedIwN9ZMvmdXZqCthSw84d422G4Riz7EsfLeuNDt8oBMUI&#10;ksYuxefr3Wd1SUzQz/WqWa9WdB2C1t48NOUaqhklo4WI6YPyluWi43gjdOcznwDnj5iIBzX+bMjN&#10;xrGp4+/WDQkSQJHqDSQqbSCR6IbCDr3R8qCNyR0Yh9PORHYGCsnhUNOX1RLuL9vyIXvAcd5Xlub4&#10;jArkeydZugayz1HOeaZgleTMKHoWuSJAaBNo8zc76WjjcoMqEb7pzPbPhufq5OW13EOVZxSPwvgW&#10;5Zy/53Oqnz+47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XS8Dc1gAAAAcBAAAPAAAAAAAAAAEA&#10;IAAAACIAAABkcnMvZG93bnJldi54bWxQSwECFAAUAAAACACHTuJA4wRe89gBAAC4AwAADgAAAAAA&#10;AAABACAAAAAlAQAAZHJzL2Uyb0RvYy54bWxQSwUGAAAAAAYABgBZAQAAbwUAAAAA&#10;">
                <v:fill on="f" focussize="0,0"/>
                <v:stroke color="#FF0000" joinstyle="round"/>
                <v:imagedata o:title=""/>
                <o:lock v:ext="edit" aspectratio="f"/>
              </v:shape>
            </w:pict>
          </mc:Fallback>
        </mc:AlternateContent>
      </w:r>
      <w:r>
        <w:rPr>
          <w:rFonts w:hint="eastAsia" w:ascii="仿宋_GB2312" w:hAnsi="黑体" w:eastAsia="仿宋_GB2312"/>
          <w:sz w:val="32"/>
          <w:szCs w:val="32"/>
        </w:rPr>
        <w:t>XXX〔20XX〕XX号</w:t>
      </w:r>
    </w:p>
    <w:p>
      <w:pPr>
        <w:spacing w:line="560" w:lineRule="exact"/>
        <w:jc w:val="center"/>
        <w:rPr>
          <w:rFonts w:ascii="仿宋_GB2312" w:hAnsi="黑体" w:eastAsia="仿宋_GB2312"/>
          <w:sz w:val="32"/>
          <w:szCs w:val="32"/>
        </w:rPr>
      </w:pPr>
    </w:p>
    <w:p>
      <w:pPr>
        <w:spacing w:line="560" w:lineRule="exact"/>
        <w:jc w:val="center"/>
        <w:rPr>
          <w:rFonts w:ascii="方正小标宋_GBK" w:hAnsi="方正小标宋_GBK" w:eastAsia="方正小标宋_GBK"/>
          <w:sz w:val="36"/>
          <w:szCs w:val="36"/>
        </w:rPr>
      </w:pPr>
      <w:r>
        <w:rPr>
          <w:rFonts w:hint="eastAsia" w:ascii="方正小标宋_GBK" w:hAnsi="方正小标宋_GBK" w:eastAsia="方正小标宋_GBK"/>
          <w:sz w:val="36"/>
          <w:szCs w:val="36"/>
        </w:rPr>
        <w:t>内蒙古自治区地方国库集中收付业务</w:t>
      </w:r>
    </w:p>
    <w:p>
      <w:pPr>
        <w:spacing w:line="560" w:lineRule="exact"/>
        <w:jc w:val="center"/>
        <w:rPr>
          <w:rFonts w:ascii="方正小标宋_GBK" w:hAnsi="方正小标宋_GBK" w:eastAsia="方正小标宋_GBK"/>
          <w:sz w:val="36"/>
          <w:szCs w:val="36"/>
        </w:rPr>
      </w:pPr>
      <w:r>
        <w:rPr>
          <w:rFonts w:hint="eastAsia" w:ascii="方正小标宋_GBK" w:hAnsi="方正小标宋_GBK" w:eastAsia="方正小标宋_GBK"/>
          <w:sz w:val="36"/>
          <w:szCs w:val="36"/>
        </w:rPr>
        <w:t>代理银行资格申请书</w:t>
      </w: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r>
        <w:rPr>
          <w:rFonts w:hint="eastAsia" w:ascii="仿宋_GB2312" w:hAnsi="黑体" w:eastAsia="仿宋_GB2312"/>
          <w:sz w:val="30"/>
          <w:szCs w:val="30"/>
        </w:rPr>
        <w:t>中国人民银行XX分行：</w:t>
      </w:r>
    </w:p>
    <w:p>
      <w:pPr>
        <w:spacing w:line="560" w:lineRule="exact"/>
        <w:ind w:firstLine="585"/>
        <w:rPr>
          <w:rFonts w:ascii="仿宋_GB2312" w:hAnsi="黑体" w:eastAsia="仿宋_GB2312"/>
          <w:sz w:val="30"/>
          <w:szCs w:val="30"/>
        </w:rPr>
      </w:pPr>
      <w:r>
        <w:rPr>
          <w:rFonts w:hint="eastAsia" w:ascii="仿宋_GB2312" w:hAnsi="黑体" w:eastAsia="仿宋_GB2312"/>
          <w:sz w:val="32"/>
          <w:szCs w:val="32"/>
        </w:rPr>
        <w:t>我行拟申请XXX省（地市、旗县区）一级国库集中收付代理银行资格，按照相关制度规定及《XXX关于开展国库集中收付代理银行资格认定工作的通知》要求，特</w:t>
      </w:r>
      <w:r>
        <w:rPr>
          <w:rFonts w:hint="eastAsia" w:ascii="仿宋_GB2312" w:hAnsi="黑体" w:eastAsia="仿宋_GB2312"/>
          <w:sz w:val="30"/>
          <w:szCs w:val="30"/>
        </w:rPr>
        <w:t>提供以下申请材料及情况说明：</w:t>
      </w:r>
    </w:p>
    <w:p>
      <w:pPr>
        <w:spacing w:line="560" w:lineRule="exact"/>
        <w:rPr>
          <w:rFonts w:ascii="仿宋_GB2312" w:hAnsi="黑体" w:eastAsia="仿宋_GB2312"/>
          <w:color w:val="565656"/>
          <w:sz w:val="30"/>
          <w:szCs w:val="30"/>
        </w:rPr>
      </w:pPr>
      <w:r>
        <w:rPr>
          <w:rFonts w:hint="eastAsia" w:ascii="仿宋_GB2312" w:hAnsi="黑体" w:eastAsia="仿宋_GB2312"/>
          <w:sz w:val="30"/>
          <w:szCs w:val="30"/>
        </w:rPr>
        <w:t xml:space="preserve">    </w:t>
      </w:r>
      <w:r>
        <w:rPr>
          <w:rFonts w:hint="eastAsia" w:ascii="仿宋_GB2312" w:hAnsi="黑体" w:eastAsia="仿宋_GB2312"/>
          <w:color w:val="565656"/>
          <w:sz w:val="30"/>
          <w:szCs w:val="30"/>
        </w:rPr>
        <w:t>前十大股东控股情况、申请机构的部门设置分工、主管部门职责、人员配备、网点分布、内控管理建设、信息系统建设、资金汇划</w:t>
      </w:r>
      <w:r>
        <w:rPr>
          <w:rFonts w:hint="eastAsia" w:ascii="仿宋_GB2312" w:hAnsi="黑体" w:eastAsia="仿宋_GB2312"/>
          <w:color w:val="565656"/>
          <w:sz w:val="30"/>
          <w:szCs w:val="30"/>
          <w:lang w:val="en-US" w:eastAsia="zh-CN"/>
        </w:rPr>
        <w:t>方式</w:t>
      </w:r>
      <w:r>
        <w:rPr>
          <w:rFonts w:hint="eastAsia" w:ascii="仿宋_GB2312" w:hAnsi="黑体" w:eastAsia="仿宋_GB2312"/>
          <w:color w:val="565656"/>
          <w:sz w:val="30"/>
          <w:szCs w:val="30"/>
        </w:rPr>
        <w:t>渠道、国库集中收付业务管理办法和操作规程、风险防范机制，根据国库集中收付业务需要制定的计算机硬件配置、软件开发和联网通讯方案等配套措施（含与财政预算管理一体化系统联网情况）、办理财税业务及代理国库业务情况、服务承诺及其他相关内容等。</w:t>
      </w:r>
    </w:p>
    <w:p>
      <w:pPr>
        <w:spacing w:line="560" w:lineRule="exact"/>
        <w:ind w:firstLine="585"/>
        <w:rPr>
          <w:rFonts w:ascii="仿宋_GB2312" w:hAnsi="黑体" w:eastAsia="仿宋_GB2312"/>
          <w:sz w:val="30"/>
          <w:szCs w:val="30"/>
        </w:rPr>
      </w:pPr>
      <w:r>
        <w:rPr>
          <w:rFonts w:ascii="仿宋_GB2312" w:hAnsi="黑体" w:eastAsia="仿宋_GB2312"/>
          <w:sz w:val="30"/>
          <w:szCs w:val="30"/>
        </w:rPr>
        <w:t>………</w:t>
      </w:r>
      <w:r>
        <w:rPr>
          <w:rFonts w:hint="eastAsia" w:ascii="仿宋_GB2312" w:hAnsi="黑体" w:eastAsia="仿宋_GB2312"/>
          <w:sz w:val="30"/>
          <w:szCs w:val="30"/>
        </w:rPr>
        <w:t>。</w:t>
      </w:r>
    </w:p>
    <w:p>
      <w:pPr>
        <w:spacing w:line="560" w:lineRule="exact"/>
        <w:ind w:right="600"/>
        <w:jc w:val="center"/>
        <w:rPr>
          <w:rFonts w:ascii="仿宋_GB2312" w:hAnsi="黑体" w:eastAsia="仿宋_GB2312"/>
          <w:sz w:val="30"/>
          <w:szCs w:val="30"/>
        </w:rPr>
      </w:pPr>
      <w:r>
        <w:rPr>
          <w:rFonts w:hint="eastAsia" w:ascii="仿宋_GB2312" w:hAnsi="黑体" w:eastAsia="仿宋_GB2312"/>
          <w:sz w:val="30"/>
          <w:szCs w:val="30"/>
        </w:rPr>
        <w:t xml:space="preserve">                                           XXX银行</w:t>
      </w:r>
    </w:p>
    <w:p>
      <w:pPr>
        <w:spacing w:line="560" w:lineRule="exact"/>
        <w:ind w:right="150"/>
        <w:jc w:val="right"/>
        <w:rPr>
          <w:rFonts w:ascii="仿宋_GB2312" w:hAnsi="黑体" w:eastAsia="仿宋_GB2312"/>
          <w:sz w:val="30"/>
          <w:szCs w:val="30"/>
        </w:rPr>
      </w:pPr>
      <w:r>
        <w:rPr>
          <w:rFonts w:hint="eastAsia" w:ascii="仿宋_GB2312" w:hAnsi="黑体" w:eastAsia="仿宋_GB2312"/>
          <w:sz w:val="30"/>
          <w:szCs w:val="30"/>
        </w:rPr>
        <w:t>20XX年X月X日</w:t>
      </w:r>
    </w:p>
    <w:p>
      <w:pPr>
        <w:widowControl/>
        <w:adjustRightInd w:val="0"/>
        <w:snapToGrid w:val="0"/>
        <w:spacing w:line="520" w:lineRule="atLeast"/>
        <w:ind w:firstLine="450" w:firstLineChars="150"/>
        <w:rPr>
          <w:rFonts w:hint="eastAsia" w:ascii="仿宋_GB2312" w:hAnsi="方正小标宋_GBK" w:eastAsia="仿宋_GB2312" w:cs="Times New Roman"/>
          <w:kern w:val="0"/>
          <w:sz w:val="30"/>
          <w:szCs w:val="30"/>
        </w:rPr>
      </w:pPr>
    </w:p>
    <w:p>
      <w:pPr>
        <w:widowControl/>
        <w:adjustRightInd w:val="0"/>
        <w:snapToGrid w:val="0"/>
        <w:spacing w:line="520" w:lineRule="atLeast"/>
        <w:ind w:firstLine="450" w:firstLineChars="150"/>
        <w:rPr>
          <w:rFonts w:hint="eastAsia" w:ascii="仿宋_GB2312" w:hAnsi="方正小标宋_GBK" w:eastAsia="仿宋_GB2312" w:cs="Times New Roman"/>
          <w:kern w:val="0"/>
          <w:sz w:val="30"/>
          <w:szCs w:val="30"/>
        </w:rPr>
      </w:pPr>
    </w:p>
    <w:p>
      <w:pPr>
        <w:widowControl/>
        <w:adjustRightInd w:val="0"/>
        <w:snapToGrid w:val="0"/>
        <w:spacing w:line="520" w:lineRule="atLeast"/>
        <w:ind w:firstLine="450" w:firstLineChars="150"/>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3、金融许可证和营业执照</w:t>
      </w:r>
    </w:p>
    <w:p>
      <w:pPr>
        <w:widowControl/>
        <w:adjustRightInd w:val="0"/>
        <w:snapToGrid w:val="0"/>
        <w:spacing w:line="520" w:lineRule="atLeast"/>
        <w:ind w:firstLine="450" w:firstLineChars="150"/>
        <w:rPr>
          <w:rFonts w:ascii="仿宋_GB2312" w:hAnsi="方正小标宋_GBK" w:eastAsia="仿宋_GB2312" w:cs="Times New Roman"/>
          <w:kern w:val="0"/>
          <w:sz w:val="30"/>
          <w:szCs w:val="30"/>
        </w:rPr>
      </w:pPr>
    </w:p>
    <w:p>
      <w:pPr>
        <w:widowControl/>
        <w:adjustRightInd w:val="0"/>
        <w:snapToGrid w:val="0"/>
        <w:spacing w:line="520" w:lineRule="atLeast"/>
        <w:ind w:firstLine="450" w:firstLineChars="150"/>
        <w:rPr>
          <w:rFonts w:ascii="仿宋_GB2312" w:hAnsi="方正小标宋_GBK" w:eastAsia="仿宋_GB2312" w:cs="Times New Roman"/>
          <w:kern w:val="0"/>
          <w:sz w:val="30"/>
          <w:szCs w:val="30"/>
        </w:rPr>
      </w:pPr>
    </w:p>
    <w:p>
      <w:pPr>
        <w:widowControl/>
        <w:adjustRightInd w:val="0"/>
        <w:snapToGrid w:val="0"/>
        <w:spacing w:line="520" w:lineRule="atLeast"/>
        <w:ind w:firstLine="450" w:firstLineChars="150"/>
        <w:rPr>
          <w:rFonts w:ascii="仿宋_GB2312" w:hAnsi="方正小标宋_GBK" w:eastAsia="仿宋_GB2312" w:cs="Times New Roman"/>
          <w:kern w:val="0"/>
          <w:sz w:val="30"/>
          <w:szCs w:val="30"/>
        </w:rPr>
      </w:pPr>
    </w:p>
    <w:p>
      <w:pPr>
        <w:widowControl/>
        <w:adjustRightInd w:val="0"/>
        <w:snapToGrid w:val="0"/>
        <w:spacing w:line="520" w:lineRule="atLeast"/>
        <w:ind w:firstLine="450" w:firstLineChars="150"/>
        <w:rPr>
          <w:rFonts w:ascii="仿宋_GB2312" w:hAnsi="方正小标宋_GBK" w:eastAsia="仿宋_GB2312" w:cs="Times New Roman"/>
          <w:kern w:val="0"/>
          <w:sz w:val="30"/>
          <w:szCs w:val="30"/>
        </w:rPr>
      </w:pPr>
    </w:p>
    <w:p>
      <w:pPr>
        <w:widowControl/>
        <w:adjustRightInd w:val="0"/>
        <w:snapToGrid w:val="0"/>
        <w:spacing w:line="520" w:lineRule="atLeast"/>
        <w:ind w:firstLine="450" w:firstLineChars="150"/>
        <w:jc w:val="center"/>
        <w:rPr>
          <w:rFonts w:ascii="仿宋_GB2312" w:hAnsi="方正小标宋_GBK" w:eastAsia="仿宋_GB2312" w:cs="Times New Roman"/>
          <w:kern w:val="0"/>
          <w:sz w:val="30"/>
          <w:szCs w:val="30"/>
        </w:rPr>
      </w:pPr>
      <w:r>
        <w:rPr>
          <w:rFonts w:ascii="仿宋_GB2312" w:hAnsi="方正小标宋_GBK" w:eastAsia="仿宋_GB2312" w:cs="Times New Roman"/>
          <w:kern w:val="0"/>
          <w:sz w:val="30"/>
          <w:szCs w:val="30"/>
          <w:lang w:val="en-US" w:eastAsia="zh-CN" w:bidi="ar-SA"/>
        </w:rPr>
        <w:drawing>
          <wp:inline distT="0" distB="0" distL="114300" distR="114300">
            <wp:extent cx="4137025" cy="3068955"/>
            <wp:effectExtent l="0" t="0" r="15875" b="17145"/>
            <wp:docPr id="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2"/>
                    <pic:cNvPicPr>
                      <a:picLocks noChangeAspect="1"/>
                    </pic:cNvPicPr>
                  </pic:nvPicPr>
                  <pic:blipFill>
                    <a:blip r:embed="rId5">
                      <a:lum/>
                    </a:blip>
                    <a:stretch>
                      <a:fillRect/>
                    </a:stretch>
                  </pic:blipFill>
                  <pic:spPr>
                    <a:xfrm>
                      <a:off x="0" y="0"/>
                      <a:ext cx="4137025" cy="3068955"/>
                    </a:xfrm>
                    <a:prstGeom prst="rect">
                      <a:avLst/>
                    </a:prstGeom>
                    <a:noFill/>
                    <a:ln>
                      <a:noFill/>
                    </a:ln>
                  </pic:spPr>
                </pic:pic>
              </a:graphicData>
            </a:graphic>
          </wp:inline>
        </w:drawing>
      </w:r>
    </w:p>
    <w:p>
      <w:pPr>
        <w:widowControl/>
        <w:adjustRightInd w:val="0"/>
        <w:snapToGrid w:val="0"/>
        <w:spacing w:line="520" w:lineRule="atLeast"/>
        <w:ind w:firstLine="450" w:firstLineChars="150"/>
        <w:rPr>
          <w:rFonts w:ascii="仿宋_GB2312" w:hAnsi="方正小标宋_GBK" w:eastAsia="仿宋_GB2312" w:cs="Times New Roman"/>
          <w:kern w:val="0"/>
          <w:sz w:val="30"/>
          <w:szCs w:val="30"/>
        </w:rPr>
      </w:pPr>
    </w:p>
    <w:p>
      <w:pPr>
        <w:widowControl/>
        <w:adjustRightInd w:val="0"/>
        <w:snapToGrid w:val="0"/>
        <w:spacing w:line="520" w:lineRule="atLeast"/>
        <w:ind w:firstLine="450" w:firstLineChars="150"/>
        <w:jc w:val="center"/>
        <w:rPr>
          <w:rFonts w:ascii="仿宋_GB2312" w:hAnsi="方正小标宋_GBK" w:eastAsia="仿宋_GB2312" w:cs="Times New Roman"/>
          <w:kern w:val="0"/>
          <w:sz w:val="30"/>
          <w:szCs w:val="30"/>
        </w:rPr>
      </w:pPr>
      <w:r>
        <w:rPr>
          <w:rFonts w:ascii="仿宋_GB2312" w:hAnsi="方正小标宋_GBK" w:eastAsia="仿宋_GB2312" w:cs="Times New Roman"/>
          <w:kern w:val="0"/>
          <w:sz w:val="30"/>
          <w:szCs w:val="30"/>
          <w:lang w:val="en-US" w:eastAsia="zh-CN" w:bidi="ar-SA"/>
        </w:rPr>
        <w:drawing>
          <wp:inline distT="0" distB="0" distL="114300" distR="114300">
            <wp:extent cx="4114800" cy="2813050"/>
            <wp:effectExtent l="0" t="0" r="0" b="6350"/>
            <wp:docPr id="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1"/>
                    <pic:cNvPicPr>
                      <a:picLocks noChangeAspect="1"/>
                    </pic:cNvPicPr>
                  </pic:nvPicPr>
                  <pic:blipFill>
                    <a:blip r:embed="rId6">
                      <a:lum/>
                    </a:blip>
                    <a:stretch>
                      <a:fillRect/>
                    </a:stretch>
                  </pic:blipFill>
                  <pic:spPr>
                    <a:xfrm>
                      <a:off x="0" y="0"/>
                      <a:ext cx="4114800" cy="2813050"/>
                    </a:xfrm>
                    <a:prstGeom prst="rect">
                      <a:avLst/>
                    </a:prstGeom>
                    <a:noFill/>
                    <a:ln>
                      <a:noFill/>
                    </a:ln>
                  </pic:spPr>
                </pic:pic>
              </a:graphicData>
            </a:graphic>
          </wp:inline>
        </w:drawing>
      </w:r>
    </w:p>
    <w:p>
      <w:pPr>
        <w:widowControl/>
        <w:adjustRightInd w:val="0"/>
        <w:snapToGrid w:val="0"/>
        <w:spacing w:line="520" w:lineRule="atLeast"/>
        <w:ind w:firstLine="450" w:firstLineChars="150"/>
        <w:jc w:val="center"/>
        <w:rPr>
          <w:rFonts w:ascii="仿宋_GB2312" w:hAnsi="方正小标宋_GBK" w:eastAsia="仿宋_GB2312" w:cs="Times New Roman"/>
          <w:kern w:val="0"/>
          <w:sz w:val="30"/>
          <w:szCs w:val="30"/>
        </w:rPr>
      </w:pPr>
    </w:p>
    <w:p>
      <w:pPr>
        <w:widowControl/>
        <w:adjustRightInd w:val="0"/>
        <w:snapToGrid w:val="0"/>
        <w:spacing w:line="520" w:lineRule="atLeast"/>
        <w:ind w:firstLine="450" w:firstLineChars="150"/>
        <w:rPr>
          <w:rFonts w:ascii="仿宋_GB2312" w:hAnsi="方正小标宋_GBK" w:eastAsia="仿宋_GB2312" w:cs="Times New Roman"/>
          <w:kern w:val="0"/>
          <w:sz w:val="30"/>
          <w:szCs w:val="30"/>
        </w:rPr>
      </w:pPr>
    </w:p>
    <w:p>
      <w:pPr>
        <w:widowControl/>
        <w:adjustRightInd w:val="0"/>
        <w:snapToGrid w:val="0"/>
        <w:spacing w:line="520" w:lineRule="atLeast"/>
        <w:ind w:firstLine="450" w:firstLineChars="150"/>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4、告知书</w:t>
      </w:r>
    </w:p>
    <w:p>
      <w:pPr>
        <w:widowControl/>
        <w:autoSpaceDN w:val="0"/>
        <w:spacing w:line="560" w:lineRule="exact"/>
        <w:jc w:val="center"/>
        <w:rPr>
          <w:rFonts w:ascii="方正小标宋_GBK" w:hAnsi="方正小标宋_GBK" w:eastAsia="方正小标宋_GBK" w:cs="Times New Roman"/>
          <w:kern w:val="0"/>
          <w:sz w:val="44"/>
          <w:szCs w:val="44"/>
        </w:rPr>
      </w:pPr>
    </w:p>
    <w:p>
      <w:pPr>
        <w:widowControl/>
        <w:autoSpaceDN w:val="0"/>
        <w:spacing w:line="560" w:lineRule="exact"/>
        <w:jc w:val="center"/>
        <w:rPr>
          <w:rFonts w:ascii="方正小标宋_GBK" w:hAnsi="方正小标宋_GBK" w:eastAsia="方正小标宋_GBK" w:cs="Times New Roman"/>
          <w:kern w:val="0"/>
          <w:sz w:val="44"/>
          <w:szCs w:val="44"/>
        </w:rPr>
      </w:pPr>
      <w:r>
        <w:rPr>
          <w:rFonts w:hint="eastAsia" w:ascii="方正小标宋_GBK" w:hAnsi="方正小标宋_GBK" w:eastAsia="方正小标宋_GBK" w:cs="Times New Roman"/>
          <w:kern w:val="0"/>
          <w:sz w:val="44"/>
          <w:szCs w:val="44"/>
        </w:rPr>
        <w:t>告知书</w:t>
      </w:r>
    </w:p>
    <w:p>
      <w:pPr>
        <w:widowControl/>
        <w:autoSpaceDN w:val="0"/>
        <w:spacing w:line="560" w:lineRule="exact"/>
        <w:ind w:firstLine="600"/>
        <w:rPr>
          <w:rFonts w:ascii="黑体" w:hAnsi="黑体" w:eastAsia="黑体" w:cs="Times New Roman"/>
          <w:kern w:val="0"/>
          <w:sz w:val="30"/>
          <w:szCs w:val="30"/>
        </w:rPr>
      </w:pPr>
    </w:p>
    <w:p>
      <w:pPr>
        <w:widowControl/>
        <w:autoSpaceDN w:val="0"/>
        <w:spacing w:line="560" w:lineRule="exact"/>
        <w:ind w:firstLine="600"/>
        <w:rPr>
          <w:rFonts w:ascii="黑体" w:hAnsi="黑体" w:eastAsia="黑体" w:cs="Times New Roman"/>
          <w:kern w:val="0"/>
          <w:sz w:val="30"/>
          <w:szCs w:val="30"/>
        </w:rPr>
      </w:pPr>
      <w:r>
        <w:rPr>
          <w:rFonts w:hint="eastAsia" w:ascii="黑体" w:hAnsi="黑体" w:eastAsia="黑体" w:cs="Times New Roman"/>
          <w:kern w:val="0"/>
          <w:sz w:val="30"/>
          <w:szCs w:val="30"/>
        </w:rPr>
        <w:t>一、行政主体基本信息</w:t>
      </w:r>
    </w:p>
    <w:p>
      <w:pPr>
        <w:widowControl/>
        <w:spacing w:line="560" w:lineRule="exact"/>
        <w:ind w:firstLine="600"/>
        <w:rPr>
          <w:rFonts w:ascii="仿宋_GB2312" w:hAnsi="Times New Roman" w:eastAsia="仿宋_GB2312" w:cs="Times New Roman"/>
          <w:bCs/>
          <w:kern w:val="0"/>
          <w:sz w:val="30"/>
          <w:szCs w:val="30"/>
        </w:rPr>
      </w:pPr>
      <w:r>
        <w:rPr>
          <w:rFonts w:hint="eastAsia" w:ascii="仿宋_GB2312" w:hAnsi="Times New Roman" w:eastAsia="仿宋_GB2312" w:cs="Times New Roman"/>
          <w:kern w:val="0"/>
          <w:sz w:val="30"/>
          <w:szCs w:val="30"/>
        </w:rPr>
        <w:t>名称：</w:t>
      </w:r>
      <w:r>
        <w:rPr>
          <w:rFonts w:hint="eastAsia" w:ascii="仿宋_GB2312" w:hAnsi="Times New Roman" w:eastAsia="仿宋_GB2312" w:cs="Times New Roman"/>
          <w:bCs/>
          <w:kern w:val="0"/>
          <w:sz w:val="30"/>
          <w:szCs w:val="30"/>
          <w:u w:val="single"/>
        </w:rPr>
        <w:t>中国人民银行XX分行</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联系方式：</w:t>
      </w:r>
    </w:p>
    <w:p>
      <w:pPr>
        <w:widowControl/>
        <w:spacing w:line="560" w:lineRule="exact"/>
        <w:ind w:firstLine="600"/>
        <w:rPr>
          <w:rFonts w:ascii="黑体" w:hAnsi="黑体" w:eastAsia="黑体" w:cs="Times New Roman"/>
          <w:kern w:val="0"/>
          <w:sz w:val="30"/>
          <w:szCs w:val="30"/>
        </w:rPr>
      </w:pPr>
      <w:r>
        <w:rPr>
          <w:rFonts w:hint="eastAsia" w:ascii="黑体" w:hAnsi="黑体" w:eastAsia="黑体" w:cs="Times New Roman"/>
          <w:kern w:val="0"/>
          <w:sz w:val="30"/>
          <w:szCs w:val="30"/>
        </w:rPr>
        <w:t>二、行政主体告知</w:t>
      </w:r>
    </w:p>
    <w:p>
      <w:pPr>
        <w:widowControl/>
        <w:spacing w:line="560" w:lineRule="exact"/>
        <w:ind w:firstLine="600"/>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（一）证明事项名称。</w:t>
      </w:r>
    </w:p>
    <w:p>
      <w:pPr>
        <w:widowControl/>
        <w:spacing w:line="560" w:lineRule="exact"/>
        <w:ind w:firstLine="585"/>
        <w:jc w:val="left"/>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1.营业执照、金融许可证；</w:t>
      </w:r>
    </w:p>
    <w:p>
      <w:pPr>
        <w:widowControl/>
        <w:spacing w:line="560" w:lineRule="exact"/>
        <w:ind w:firstLine="585"/>
        <w:jc w:val="left"/>
        <w:rPr>
          <w:rFonts w:ascii="仿宋_GB2312" w:hAnsi="Times New Roman" w:eastAsia="仿宋_GB2312" w:cs="Times New Roman"/>
          <w:b/>
          <w:bCs/>
          <w:kern w:val="0"/>
          <w:sz w:val="30"/>
          <w:szCs w:val="30"/>
          <w:u w:val="single"/>
        </w:rPr>
      </w:pPr>
      <w:r>
        <w:rPr>
          <w:rFonts w:hint="eastAsia" w:ascii="仿宋_GB2312" w:hAnsi="Times New Roman" w:eastAsia="仿宋_GB2312" w:cs="Times New Roman"/>
          <w:kern w:val="0"/>
          <w:sz w:val="30"/>
          <w:szCs w:val="30"/>
        </w:rPr>
        <w:t>2.金融监管部门、政府审计部门、会计师事务所作出的最新监管报告、审计报告。</w:t>
      </w:r>
    </w:p>
    <w:p>
      <w:pPr>
        <w:widowControl/>
        <w:spacing w:line="560" w:lineRule="exact"/>
        <w:ind w:firstLine="600"/>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（二）证明事项的证明内容。</w:t>
      </w:r>
    </w:p>
    <w:p>
      <w:pPr>
        <w:widowControl/>
        <w:spacing w:line="560" w:lineRule="exact"/>
        <w:jc w:val="left"/>
        <w:rPr>
          <w:rFonts w:ascii="楷体_GB2312" w:hAnsi="Times New Roman" w:eastAsia="楷体_GB2312" w:cs="Times New Roman"/>
          <w:kern w:val="0"/>
          <w:sz w:val="30"/>
          <w:szCs w:val="30"/>
        </w:rPr>
      </w:pPr>
      <w:r>
        <w:rPr>
          <w:rFonts w:hint="eastAsia" w:ascii="仿宋_GB2312" w:hAnsi="Times New Roman" w:eastAsia="仿宋_GB2312" w:cs="Times New Roman"/>
          <w:kern w:val="0"/>
          <w:sz w:val="30"/>
          <w:szCs w:val="30"/>
        </w:rPr>
        <w:t xml:space="preserve">    证明申请人具备申请办理国库集中收付业务代理银行的资质。</w:t>
      </w:r>
    </w:p>
    <w:p>
      <w:pPr>
        <w:widowControl/>
        <w:spacing w:line="560" w:lineRule="exact"/>
        <w:ind w:firstLine="600"/>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（三）证明事项的设定依据。</w:t>
      </w:r>
    </w:p>
    <w:p>
      <w:pPr>
        <w:spacing w:line="560" w:lineRule="exact"/>
        <w:ind w:firstLine="600" w:firstLineChars="200"/>
        <w:rPr>
          <w:rFonts w:ascii="仿宋_GB2312" w:hAnsi="Times New Roman" w:eastAsia="仿宋_GB2312" w:cs="Times New Roman"/>
          <w:kern w:val="0"/>
          <w:sz w:val="30"/>
          <w:szCs w:val="30"/>
        </w:rPr>
      </w:pPr>
      <w:r>
        <w:rPr>
          <w:rFonts w:hint="eastAsia" w:ascii="仿宋_GB2312" w:hAnsi="黑体" w:eastAsia="仿宋_GB2312" w:cs="Times New Roman"/>
          <w:sz w:val="30"/>
          <w:szCs w:val="30"/>
        </w:rPr>
        <w:t>《国务院对确需保留的行政审批项目设定行政许可的决定》（国务院令第412号）、《国务院办公厅关于全面实行行政许可事项清单管理的通知》（国办发〔2022〕2号）、《国务院办公厅关于公布&lt;法律、行政法规、国务院决定设定的行政许可事项清单（2023年版）&gt;的通知》（国办发〔2023〕5号）、</w:t>
      </w:r>
      <w:r>
        <w:rPr>
          <w:rFonts w:hint="eastAsia" w:ascii="仿宋_GB2312" w:hAnsi="Times New Roman" w:eastAsia="仿宋_GB2312" w:cs="Times New Roman"/>
          <w:kern w:val="0"/>
          <w:sz w:val="30"/>
          <w:szCs w:val="30"/>
        </w:rPr>
        <w:t>《中国人民银行关于明确地方国库集中收付代理银行资格认定有关事项的通知》（银发〔2019〕385号）第一条“申请条件至少应当包括以下内容：依法持有《金融许可证》；依法持有营业执照，并年检合格；资金实力雄厚，资产状况良好，具有较强的风险控制能力和较好的经营业绩</w:t>
      </w:r>
      <w:r>
        <w:rPr>
          <w:rFonts w:ascii="仿宋_GB2312" w:hAnsi="Times New Roman" w:eastAsia="仿宋_GB2312" w:cs="Times New Roman"/>
          <w:kern w:val="0"/>
          <w:sz w:val="30"/>
          <w:szCs w:val="30"/>
        </w:rPr>
        <w:t>……</w:t>
      </w:r>
      <w:r>
        <w:rPr>
          <w:rFonts w:hint="eastAsia" w:ascii="仿宋_GB2312" w:hAnsi="Times New Roman" w:eastAsia="仿宋_GB2312" w:cs="Times New Roman"/>
          <w:kern w:val="0"/>
          <w:sz w:val="30"/>
          <w:szCs w:val="30"/>
        </w:rPr>
        <w:t>”等规定。</w:t>
      </w:r>
    </w:p>
    <w:p>
      <w:pPr>
        <w:widowControl/>
        <w:spacing w:line="560" w:lineRule="exact"/>
        <w:ind w:firstLine="600"/>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（四）告知承诺制的适用对象。</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申请人可自主选择是否采用告知承诺替代证明。申请人如不愿承诺或者无法承诺的，应当提交本证明事项所需证明材料。存在较严重的不良信用记录或者存在曾作出虚假承诺等情形的申请人，在信用修复前不得申请适用告知承诺制。</w:t>
      </w:r>
    </w:p>
    <w:p>
      <w:pPr>
        <w:widowControl/>
        <w:spacing w:line="560" w:lineRule="exact"/>
        <w:ind w:firstLine="600"/>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（五）承诺方式及法律效力。</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本证明事项采用书面承诺方式，申请人愿意作出承诺的，应当向</w:t>
      </w:r>
      <w:r>
        <w:rPr>
          <w:rFonts w:hint="eastAsia" w:ascii="仿宋_GB2312" w:hAnsi="Times New Roman" w:eastAsia="仿宋_GB2312" w:cs="Times New Roman"/>
          <w:kern w:val="0"/>
          <w:sz w:val="30"/>
          <w:szCs w:val="30"/>
          <w:u w:val="single"/>
        </w:rPr>
        <w:t>中国人民银行XX分行</w:t>
      </w:r>
      <w:r>
        <w:rPr>
          <w:rFonts w:hint="eastAsia" w:ascii="仿宋_GB2312" w:hAnsi="Times New Roman" w:eastAsia="仿宋_GB2312" w:cs="Times New Roman"/>
          <w:kern w:val="0"/>
          <w:sz w:val="30"/>
          <w:szCs w:val="30"/>
        </w:rPr>
        <w:t>提交申请人签字或者加盖公章的承诺书原件。本证明事项必须由申请人作出承诺，不可代为承诺。</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申请人书面承诺已经符合告知的条件、要求，并愿意承担不实承诺的法律责任的，</w:t>
      </w:r>
      <w:r>
        <w:rPr>
          <w:rFonts w:hint="eastAsia" w:ascii="仿宋_GB2312" w:hAnsi="Times New Roman" w:eastAsia="仿宋_GB2312" w:cs="Times New Roman"/>
          <w:kern w:val="0"/>
          <w:sz w:val="30"/>
          <w:szCs w:val="30"/>
          <w:u w:val="single"/>
        </w:rPr>
        <w:t>中国人民银行XX分行</w:t>
      </w:r>
      <w:r>
        <w:rPr>
          <w:rFonts w:hint="eastAsia" w:ascii="仿宋_GB2312" w:hAnsi="Times New Roman" w:eastAsia="仿宋_GB2312" w:cs="Times New Roman"/>
          <w:kern w:val="0"/>
          <w:sz w:val="30"/>
          <w:szCs w:val="30"/>
        </w:rPr>
        <w:t>不再要求申请人提交本证明事项所需证明材料，依据书面承诺办理相关事项。申请人在行政事项办结前，有合理理由的，可以撤回承诺申请，撤回承诺申请后申请人应当提交本证明事项所需证明材料。</w:t>
      </w:r>
    </w:p>
    <w:p>
      <w:pPr>
        <w:widowControl/>
        <w:spacing w:line="560" w:lineRule="exact"/>
        <w:ind w:firstLine="600"/>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（六）行政主体的核查权力。</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申请人选择采用告知承诺方式办理行政事项的，</w:t>
      </w:r>
      <w:r>
        <w:rPr>
          <w:rFonts w:hint="eastAsia" w:ascii="仿宋_GB2312" w:hAnsi="Times New Roman" w:eastAsia="仿宋_GB2312" w:cs="Times New Roman"/>
          <w:kern w:val="0"/>
          <w:sz w:val="30"/>
          <w:szCs w:val="30"/>
          <w:u w:val="single"/>
        </w:rPr>
        <w:t>中国人民银行XX分行</w:t>
      </w:r>
      <w:r>
        <w:rPr>
          <w:rFonts w:hint="eastAsia" w:ascii="仿宋_GB2312" w:hAnsi="Times New Roman" w:eastAsia="仿宋_GB2312" w:cs="Times New Roman"/>
          <w:kern w:val="0"/>
          <w:sz w:val="30"/>
          <w:szCs w:val="30"/>
        </w:rPr>
        <w:t>有权根据实际情况，采用书面核查、网络核验、实地调查等方式，对申请人承诺的真实性进行核查。</w:t>
      </w:r>
    </w:p>
    <w:p>
      <w:pPr>
        <w:widowControl/>
        <w:spacing w:line="560" w:lineRule="exact"/>
        <w:ind w:firstLine="600"/>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（七）承诺书公开情况。</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 xml:space="preserve"> 不公开申请人提交的承诺书。</w:t>
      </w:r>
    </w:p>
    <w:p>
      <w:pPr>
        <w:widowControl/>
        <w:spacing w:line="560" w:lineRule="exact"/>
        <w:ind w:firstLine="600"/>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（八）不实承诺的法律责任。</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对承诺不实等违法违规行为，</w:t>
      </w:r>
      <w:r>
        <w:rPr>
          <w:rFonts w:hint="eastAsia" w:ascii="仿宋_GB2312" w:hAnsi="Times New Roman" w:eastAsia="仿宋_GB2312" w:cs="Times New Roman"/>
          <w:kern w:val="0"/>
          <w:sz w:val="30"/>
          <w:szCs w:val="30"/>
          <w:u w:val="single"/>
        </w:rPr>
        <w:t>中国人民银行XX分行</w:t>
      </w:r>
      <w:r>
        <w:rPr>
          <w:rFonts w:hint="eastAsia" w:ascii="仿宋_GB2312" w:hAnsi="Times New Roman" w:eastAsia="仿宋_GB2312" w:cs="Times New Roman"/>
          <w:kern w:val="0"/>
          <w:sz w:val="30"/>
          <w:szCs w:val="30"/>
        </w:rPr>
        <w:t>有权依法作出如下处理：</w:t>
      </w:r>
      <w:r>
        <w:rPr>
          <w:rFonts w:hint="eastAsia" w:ascii="仿宋_GB2312" w:hAnsi="Times New Roman" w:eastAsia="仿宋_GB2312" w:cs="Times New Roman"/>
          <w:kern w:val="0"/>
          <w:sz w:val="30"/>
          <w:szCs w:val="30"/>
          <w:u w:val="single"/>
        </w:rPr>
        <w:t>终止行政事项办理，撤销行政决定，作出行政处罚等。</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申请人因承诺不实受到行政处罚的相关信息将被依法加载至金融信用信息基础数据库。</w:t>
      </w:r>
    </w:p>
    <w:p>
      <w:pPr>
        <w:widowControl/>
        <w:autoSpaceDN w:val="0"/>
        <w:spacing w:line="560" w:lineRule="exact"/>
        <w:ind w:right="735"/>
        <w:jc w:val="right"/>
        <w:rPr>
          <w:rFonts w:ascii="仿宋_GB2312" w:hAnsi="Times New Roman" w:eastAsia="仿宋_GB2312" w:cs="Times New Roman"/>
          <w:kern w:val="0"/>
          <w:sz w:val="30"/>
          <w:szCs w:val="30"/>
        </w:rPr>
      </w:pPr>
    </w:p>
    <w:p>
      <w:pPr>
        <w:widowControl/>
        <w:autoSpaceDN w:val="0"/>
        <w:spacing w:line="560" w:lineRule="exact"/>
        <w:ind w:right="735"/>
        <w:jc w:val="right"/>
        <w:rPr>
          <w:rFonts w:ascii="仿宋_GB2312" w:hAnsi="Times New Roman" w:eastAsia="仿宋_GB2312" w:cs="Times New Roman"/>
          <w:kern w:val="0"/>
          <w:sz w:val="30"/>
          <w:szCs w:val="30"/>
        </w:rPr>
      </w:pPr>
    </w:p>
    <w:p>
      <w:pPr>
        <w:widowControl/>
        <w:autoSpaceDN w:val="0"/>
        <w:spacing w:line="560" w:lineRule="exact"/>
        <w:ind w:right="735"/>
        <w:jc w:val="right"/>
        <w:rPr>
          <w:rFonts w:ascii="仿宋_GB2312" w:hAnsi="Times New Roman" w:eastAsia="仿宋_GB2312" w:cs="Times New Roman"/>
          <w:kern w:val="0"/>
          <w:sz w:val="30"/>
          <w:szCs w:val="30"/>
        </w:rPr>
      </w:pPr>
    </w:p>
    <w:p>
      <w:pPr>
        <w:widowControl/>
        <w:autoSpaceDN w:val="0"/>
        <w:spacing w:line="560" w:lineRule="exact"/>
        <w:ind w:right="735"/>
        <w:jc w:val="right"/>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中国人民银行XX分行</w:t>
      </w:r>
    </w:p>
    <w:p>
      <w:pPr>
        <w:widowControl/>
        <w:adjustRightInd w:val="0"/>
        <w:snapToGrid w:val="0"/>
        <w:spacing w:line="560" w:lineRule="exact"/>
        <w:ind w:firstLine="4050" w:firstLineChars="1350"/>
        <w:rPr>
          <w:rFonts w:ascii="仿宋_GB2312" w:hAnsi="方正小标宋_GBK" w:eastAsia="仿宋_GB2312" w:cs="Times New Roman"/>
          <w:kern w:val="0"/>
          <w:sz w:val="30"/>
          <w:szCs w:val="30"/>
        </w:rPr>
      </w:pPr>
      <w:r>
        <w:rPr>
          <w:rFonts w:hint="eastAsia" w:ascii="仿宋_GB2312" w:hAnsi="Arial" w:eastAsia="仿宋_GB2312" w:cs="Arial"/>
          <w:kern w:val="0"/>
          <w:sz w:val="30"/>
          <w:szCs w:val="30"/>
        </w:rPr>
        <w:t xml:space="preserve">    202×年××月××日</w:t>
      </w: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spacing w:line="720" w:lineRule="atLeast"/>
        <w:ind w:firstLine="450" w:firstLineChars="15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5、承诺书</w:t>
      </w:r>
    </w:p>
    <w:p>
      <w:pPr>
        <w:widowControl/>
        <w:spacing w:line="720" w:lineRule="atLeast"/>
        <w:jc w:val="center"/>
        <w:rPr>
          <w:rFonts w:ascii="方正小标宋_GBK" w:hAnsi="方正小标宋_GBK" w:eastAsia="方正小标宋_GBK" w:cs="Times New Roman"/>
          <w:kern w:val="0"/>
          <w:sz w:val="32"/>
          <w:szCs w:val="32"/>
        </w:rPr>
      </w:pPr>
    </w:p>
    <w:p>
      <w:pPr>
        <w:widowControl/>
        <w:adjustRightInd w:val="0"/>
        <w:snapToGrid w:val="0"/>
        <w:spacing w:line="720" w:lineRule="atLeast"/>
        <w:jc w:val="center"/>
        <w:rPr>
          <w:rFonts w:ascii="方正小标宋_GBK" w:hAnsi="方正小标宋_GBK" w:eastAsia="方正小标宋_GBK" w:cs="Arial"/>
          <w:kern w:val="0"/>
          <w:sz w:val="44"/>
          <w:szCs w:val="44"/>
        </w:rPr>
      </w:pPr>
      <w:r>
        <w:rPr>
          <w:rFonts w:hint="eastAsia" w:ascii="方正小标宋_GBK" w:hAnsi="方正小标宋_GBK" w:eastAsia="方正小标宋_GBK" w:cs="Arial"/>
          <w:kern w:val="0"/>
          <w:sz w:val="44"/>
          <w:szCs w:val="44"/>
        </w:rPr>
        <w:t>承诺书范本</w:t>
      </w:r>
    </w:p>
    <w:p>
      <w:pPr>
        <w:widowControl/>
        <w:adjustRightInd w:val="0"/>
        <w:snapToGrid w:val="0"/>
        <w:spacing w:line="520" w:lineRule="atLeast"/>
        <w:rPr>
          <w:rFonts w:ascii="方正小标宋_GBK" w:hAnsi="方正小标宋_GBK" w:eastAsia="方正小标宋_GBK" w:cs="Arial"/>
          <w:kern w:val="0"/>
          <w:sz w:val="30"/>
          <w:szCs w:val="30"/>
        </w:rPr>
      </w:pPr>
    </w:p>
    <w:p>
      <w:pPr>
        <w:widowControl/>
        <w:adjustRightInd w:val="0"/>
        <w:snapToGrid w:val="0"/>
        <w:spacing w:line="520" w:lineRule="atLeast"/>
        <w:ind w:firstLine="600"/>
        <w:rPr>
          <w:rFonts w:ascii="黑体" w:hAnsi="黑体" w:eastAsia="黑体" w:cs="Arial"/>
          <w:kern w:val="0"/>
          <w:sz w:val="30"/>
          <w:szCs w:val="30"/>
        </w:rPr>
      </w:pPr>
      <w:r>
        <w:rPr>
          <w:rFonts w:hint="eastAsia" w:ascii="黑体" w:hAnsi="黑体" w:eastAsia="黑体" w:cs="Arial"/>
          <w:kern w:val="0"/>
          <w:sz w:val="30"/>
          <w:szCs w:val="30"/>
        </w:rPr>
        <w:t xml:space="preserve">一、申请人基本信息 </w:t>
      </w:r>
    </w:p>
    <w:p>
      <w:pPr>
        <w:widowControl/>
        <w:adjustRightInd w:val="0"/>
        <w:snapToGrid w:val="0"/>
        <w:spacing w:line="520" w:lineRule="atLeast"/>
        <w:ind w:firstLine="600"/>
        <w:rPr>
          <w:rFonts w:ascii="仿宋_GB2312" w:hAnsi="Arial" w:eastAsia="仿宋_GB2312" w:cs="Arial"/>
          <w:kern w:val="0"/>
          <w:sz w:val="30"/>
          <w:szCs w:val="30"/>
        </w:rPr>
      </w:pPr>
      <w:r>
        <w:rPr>
          <w:rFonts w:hint="eastAsia" w:ascii="仿宋_GB2312" w:hAnsi="Arial" w:eastAsia="仿宋_GB2312" w:cs="Arial"/>
          <w:kern w:val="0"/>
          <w:sz w:val="30"/>
          <w:szCs w:val="30"/>
        </w:rPr>
        <w:t>名称（姓名）： 联系方式：</w:t>
      </w:r>
    </w:p>
    <w:p>
      <w:pPr>
        <w:widowControl/>
        <w:adjustRightInd w:val="0"/>
        <w:snapToGrid w:val="0"/>
        <w:spacing w:line="520" w:lineRule="atLeast"/>
        <w:ind w:firstLine="600"/>
        <w:rPr>
          <w:rFonts w:ascii="仿宋_GB2312" w:hAnsi="Arial" w:eastAsia="仿宋_GB2312" w:cs="Arial"/>
          <w:b/>
          <w:bCs/>
          <w:kern w:val="0"/>
          <w:sz w:val="30"/>
          <w:szCs w:val="30"/>
          <w:u w:val="single"/>
        </w:rPr>
      </w:pPr>
      <w:r>
        <w:rPr>
          <w:rFonts w:hint="eastAsia" w:ascii="仿宋_GB2312" w:hAnsi="Arial" w:eastAsia="仿宋_GB2312" w:cs="Arial"/>
          <w:kern w:val="0"/>
          <w:sz w:val="30"/>
          <w:szCs w:val="30"/>
        </w:rPr>
        <w:t>地址：</w:t>
      </w:r>
    </w:p>
    <w:p>
      <w:pPr>
        <w:widowControl/>
        <w:adjustRightInd w:val="0"/>
        <w:snapToGrid w:val="0"/>
        <w:spacing w:line="520" w:lineRule="atLeast"/>
        <w:ind w:firstLine="600"/>
        <w:rPr>
          <w:rFonts w:ascii="仿宋_GB2312" w:hAnsi="Arial" w:eastAsia="仿宋_GB2312" w:cs="Arial"/>
          <w:kern w:val="0"/>
          <w:sz w:val="30"/>
          <w:szCs w:val="30"/>
        </w:rPr>
      </w:pPr>
      <w:r>
        <w:rPr>
          <w:rFonts w:hint="eastAsia" w:ascii="仿宋_GB2312" w:hAnsi="Arial" w:eastAsia="仿宋_GB2312" w:cs="Arial"/>
          <w:kern w:val="0"/>
          <w:sz w:val="30"/>
          <w:szCs w:val="30"/>
        </w:rPr>
        <w:t>证件类型及编号（或者统一社会信用代码）：</w:t>
      </w:r>
    </w:p>
    <w:p>
      <w:pPr>
        <w:widowControl/>
        <w:adjustRightInd w:val="0"/>
        <w:snapToGrid w:val="0"/>
        <w:spacing w:line="520" w:lineRule="atLeast"/>
        <w:ind w:firstLine="600"/>
        <w:rPr>
          <w:rFonts w:ascii="黑体" w:hAnsi="黑体" w:eastAsia="黑体" w:cs="Arial"/>
          <w:kern w:val="0"/>
          <w:sz w:val="30"/>
          <w:szCs w:val="30"/>
        </w:rPr>
      </w:pPr>
      <w:r>
        <w:rPr>
          <w:rFonts w:hint="eastAsia" w:ascii="黑体" w:hAnsi="黑体" w:eastAsia="黑体" w:cs="Arial"/>
          <w:kern w:val="0"/>
          <w:sz w:val="30"/>
          <w:szCs w:val="30"/>
        </w:rPr>
        <w:t>二、申请人承诺</w:t>
      </w:r>
    </w:p>
    <w:p>
      <w:pPr>
        <w:widowControl/>
        <w:adjustRightInd w:val="0"/>
        <w:snapToGrid w:val="0"/>
        <w:spacing w:line="520" w:lineRule="atLeast"/>
        <w:ind w:firstLine="600"/>
        <w:rPr>
          <w:rFonts w:ascii="仿宋_GB2312" w:hAnsi="Arial" w:eastAsia="仿宋_GB2312" w:cs="Arial"/>
          <w:kern w:val="0"/>
          <w:sz w:val="30"/>
          <w:szCs w:val="30"/>
        </w:rPr>
      </w:pPr>
      <w:r>
        <w:rPr>
          <w:rFonts w:hint="eastAsia" w:ascii="仿宋_GB2312" w:hAnsi="Arial" w:eastAsia="仿宋_GB2312" w:cs="Arial"/>
          <w:kern w:val="0"/>
          <w:sz w:val="30"/>
          <w:szCs w:val="30"/>
        </w:rPr>
        <w:t xml:space="preserve">（一）已经知晓 </w:t>
      </w:r>
      <w:r>
        <w:rPr>
          <w:rFonts w:hint="eastAsia" w:ascii="仿宋_GB2312" w:hAnsi="Arial" w:eastAsia="仿宋_GB2312" w:cs="Arial"/>
          <w:kern w:val="0"/>
          <w:sz w:val="30"/>
          <w:szCs w:val="30"/>
          <w:u w:val="single"/>
        </w:rPr>
        <w:t xml:space="preserve">中国人民银行XX分行 </w:t>
      </w:r>
      <w:r>
        <w:rPr>
          <w:rFonts w:hint="eastAsia" w:ascii="仿宋_GB2312" w:hAnsi="Arial" w:eastAsia="仿宋_GB2312" w:cs="Arial"/>
          <w:kern w:val="0"/>
          <w:sz w:val="30"/>
          <w:szCs w:val="30"/>
        </w:rPr>
        <w:t>告知的全部内容。</w:t>
      </w:r>
    </w:p>
    <w:p>
      <w:pPr>
        <w:widowControl/>
        <w:adjustRightInd w:val="0"/>
        <w:snapToGrid w:val="0"/>
        <w:spacing w:line="520" w:lineRule="atLeast"/>
        <w:ind w:firstLine="600"/>
        <w:rPr>
          <w:rFonts w:ascii="仿宋_GB2312" w:hAnsi="Arial" w:eastAsia="仿宋_GB2312" w:cs="Arial"/>
          <w:kern w:val="0"/>
          <w:sz w:val="30"/>
          <w:szCs w:val="30"/>
        </w:rPr>
      </w:pPr>
      <w:r>
        <w:rPr>
          <w:rFonts w:hint="eastAsia" w:ascii="仿宋_GB2312" w:hAnsi="Arial" w:eastAsia="仿宋_GB2312" w:cs="Arial"/>
          <w:kern w:val="0"/>
          <w:sz w:val="30"/>
          <w:szCs w:val="30"/>
        </w:rPr>
        <w:t>（二）自身已符合行政机关告知的条件、要求，具体情况如下：</w:t>
      </w:r>
      <w:r>
        <w:rPr>
          <w:rFonts w:hint="eastAsia" w:ascii="仿宋_GB2312" w:hAnsi="Arial" w:eastAsia="仿宋_GB2312" w:cs="Arial"/>
          <w:kern w:val="0"/>
          <w:sz w:val="30"/>
          <w:szCs w:val="30"/>
          <w:u w:val="single"/>
        </w:rPr>
        <w:t>（申请人承诺的具体内容）</w:t>
      </w:r>
      <w:r>
        <w:rPr>
          <w:rFonts w:hint="eastAsia" w:ascii="仿宋_GB2312" w:hAnsi="Arial" w:eastAsia="仿宋_GB2312" w:cs="Arial"/>
          <w:kern w:val="0"/>
          <w:sz w:val="30"/>
          <w:szCs w:val="30"/>
        </w:rPr>
        <w:t>申请人作出的上述承诺属实，不存在虚假不实之处。</w:t>
      </w:r>
    </w:p>
    <w:p>
      <w:pPr>
        <w:widowControl/>
        <w:adjustRightInd w:val="0"/>
        <w:snapToGrid w:val="0"/>
        <w:spacing w:line="520" w:lineRule="atLeast"/>
        <w:ind w:firstLine="600"/>
        <w:rPr>
          <w:rFonts w:ascii="仿宋_GB2312" w:hAnsi="Arial" w:eastAsia="仿宋_GB2312" w:cs="Arial"/>
          <w:kern w:val="0"/>
          <w:sz w:val="30"/>
          <w:szCs w:val="30"/>
        </w:rPr>
      </w:pPr>
      <w:r>
        <w:rPr>
          <w:rFonts w:hint="eastAsia" w:ascii="仿宋_GB2312" w:hAnsi="Arial" w:eastAsia="仿宋_GB2312" w:cs="Arial"/>
          <w:kern w:val="0"/>
          <w:sz w:val="30"/>
          <w:szCs w:val="30"/>
        </w:rPr>
        <w:t>（三）本告知承诺书上填写的基本信息真实、准确。</w:t>
      </w:r>
    </w:p>
    <w:p>
      <w:pPr>
        <w:widowControl/>
        <w:adjustRightInd w:val="0"/>
        <w:snapToGrid w:val="0"/>
        <w:spacing w:line="520" w:lineRule="atLeast"/>
        <w:ind w:firstLine="600"/>
        <w:rPr>
          <w:rFonts w:ascii="仿宋_GB2312" w:hAnsi="Arial" w:eastAsia="仿宋_GB2312" w:cs="Arial"/>
          <w:kern w:val="0"/>
          <w:sz w:val="30"/>
          <w:szCs w:val="30"/>
        </w:rPr>
      </w:pPr>
      <w:r>
        <w:rPr>
          <w:rFonts w:hint="eastAsia" w:ascii="仿宋_GB2312" w:hAnsi="Arial" w:eastAsia="仿宋_GB2312" w:cs="Arial"/>
          <w:kern w:val="0"/>
          <w:sz w:val="30"/>
          <w:szCs w:val="30"/>
        </w:rPr>
        <w:t>（四）愿意承担不实承诺的法律责任。</w:t>
      </w:r>
    </w:p>
    <w:p>
      <w:pPr>
        <w:widowControl/>
        <w:adjustRightInd w:val="0"/>
        <w:snapToGrid w:val="0"/>
        <w:spacing w:line="520" w:lineRule="atLeast"/>
        <w:ind w:firstLine="600"/>
        <w:rPr>
          <w:rFonts w:ascii="仿宋_GB2312" w:hAnsi="Arial" w:eastAsia="仿宋_GB2312" w:cs="Arial"/>
          <w:kern w:val="0"/>
          <w:sz w:val="30"/>
          <w:szCs w:val="30"/>
        </w:rPr>
      </w:pPr>
      <w:r>
        <w:rPr>
          <w:rFonts w:hint="eastAsia" w:ascii="仿宋_GB2312" w:hAnsi="Arial" w:eastAsia="仿宋_GB2312" w:cs="Arial"/>
          <w:kern w:val="0"/>
          <w:sz w:val="30"/>
          <w:szCs w:val="30"/>
        </w:rPr>
        <w:t xml:space="preserve">（五）愿意配合 </w:t>
      </w:r>
      <w:r>
        <w:rPr>
          <w:rFonts w:hint="eastAsia" w:ascii="仿宋_GB2312" w:hAnsi="Arial" w:eastAsia="仿宋_GB2312" w:cs="Arial"/>
          <w:kern w:val="0"/>
          <w:sz w:val="30"/>
          <w:szCs w:val="30"/>
          <w:u w:val="single"/>
        </w:rPr>
        <w:t xml:space="preserve">中国人民银行XX分行 </w:t>
      </w:r>
      <w:r>
        <w:rPr>
          <w:rFonts w:hint="eastAsia" w:ascii="仿宋_GB2312" w:hAnsi="Arial" w:eastAsia="仿宋_GB2312" w:cs="Arial"/>
          <w:kern w:val="0"/>
          <w:sz w:val="30"/>
          <w:szCs w:val="30"/>
        </w:rPr>
        <w:t>对申请人承诺内容等相关信息的核查工作。</w:t>
      </w:r>
    </w:p>
    <w:p>
      <w:pPr>
        <w:widowControl/>
        <w:adjustRightInd w:val="0"/>
        <w:snapToGrid w:val="0"/>
        <w:spacing w:line="520" w:lineRule="atLeast"/>
        <w:ind w:firstLine="600"/>
        <w:rPr>
          <w:rFonts w:ascii="仿宋_GB2312" w:hAnsi="Arial" w:eastAsia="仿宋_GB2312" w:cs="Arial"/>
          <w:b/>
          <w:bCs/>
          <w:kern w:val="0"/>
          <w:sz w:val="30"/>
          <w:szCs w:val="30"/>
        </w:rPr>
      </w:pPr>
      <w:r>
        <w:rPr>
          <w:rFonts w:hint="eastAsia" w:ascii="仿宋_GB2312" w:hAnsi="Arial" w:eastAsia="仿宋_GB2312" w:cs="Arial"/>
          <w:kern w:val="0"/>
          <w:sz w:val="30"/>
          <w:szCs w:val="30"/>
        </w:rPr>
        <w:t>（六）上述承诺是申请人真实的意思表示。</w:t>
      </w:r>
    </w:p>
    <w:p>
      <w:pPr>
        <w:widowControl/>
        <w:adjustRightInd w:val="0"/>
        <w:snapToGrid w:val="0"/>
        <w:spacing w:line="520" w:lineRule="atLeast"/>
        <w:rPr>
          <w:rFonts w:ascii="仿宋_GB2312" w:hAnsi="Arial" w:eastAsia="仿宋_GB2312" w:cs="Arial"/>
          <w:b/>
          <w:bCs/>
          <w:kern w:val="0"/>
          <w:sz w:val="30"/>
          <w:szCs w:val="30"/>
        </w:rPr>
      </w:pPr>
    </w:p>
    <w:p>
      <w:pPr>
        <w:widowControl/>
        <w:adjustRightInd w:val="0"/>
        <w:snapToGrid w:val="0"/>
        <w:spacing w:line="520" w:lineRule="atLeast"/>
        <w:rPr>
          <w:rFonts w:ascii="仿宋_GB2312" w:hAnsi="Arial" w:eastAsia="仿宋_GB2312" w:cs="Arial"/>
          <w:b/>
          <w:bCs/>
          <w:kern w:val="0"/>
          <w:sz w:val="30"/>
          <w:szCs w:val="30"/>
        </w:rPr>
      </w:pPr>
    </w:p>
    <w:p>
      <w:pPr>
        <w:widowControl/>
        <w:adjustRightInd w:val="0"/>
        <w:snapToGrid w:val="0"/>
        <w:spacing w:line="520" w:lineRule="atLeast"/>
        <w:ind w:right="420" w:firstLine="600"/>
        <w:jc w:val="right"/>
        <w:rPr>
          <w:rFonts w:ascii="仿宋_GB2312" w:hAnsi="Arial" w:eastAsia="仿宋_GB2312" w:cs="Arial"/>
          <w:kern w:val="0"/>
          <w:sz w:val="30"/>
          <w:szCs w:val="30"/>
        </w:rPr>
      </w:pPr>
      <w:r>
        <w:rPr>
          <w:rFonts w:hint="eastAsia" w:ascii="仿宋_GB2312" w:hAnsi="Arial" w:eastAsia="仿宋_GB2312" w:cs="Arial"/>
          <w:kern w:val="0"/>
          <w:sz w:val="30"/>
          <w:szCs w:val="30"/>
        </w:rPr>
        <w:t>（申请人签名或者公章）</w:t>
      </w:r>
    </w:p>
    <w:p>
      <w:pPr>
        <w:widowControl/>
        <w:adjustRightInd w:val="0"/>
        <w:snapToGrid w:val="0"/>
        <w:ind w:right="450"/>
        <w:jc w:val="right"/>
        <w:rPr>
          <w:rFonts w:ascii="Arial" w:hAnsi="Arial" w:cs="Arial"/>
          <w:kern w:val="0"/>
          <w:szCs w:val="21"/>
        </w:rPr>
      </w:pPr>
      <w:r>
        <w:rPr>
          <w:rFonts w:hint="eastAsia" w:ascii="仿宋_GB2312" w:hAnsi="Arial" w:eastAsia="仿宋_GB2312" w:cs="Arial"/>
          <w:kern w:val="0"/>
          <w:sz w:val="30"/>
          <w:szCs w:val="30"/>
        </w:rPr>
        <w:t>202×年××月××日</w:t>
      </w: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pStyle w:val="12"/>
        <w:spacing w:line="560" w:lineRule="exact"/>
        <w:ind w:firstLine="600" w:firstLineChars="200"/>
        <w:rPr>
          <w:rFonts w:ascii="仿宋_GB2312" w:eastAsia="仿宋_GB2312"/>
          <w:color w:val="auto"/>
          <w:sz w:val="30"/>
          <w:szCs w:val="30"/>
        </w:rPr>
      </w:pPr>
      <w:r>
        <w:rPr>
          <w:rFonts w:hint="eastAsia" w:ascii="仿宋_GB2312" w:eastAsia="仿宋_GB2312"/>
          <w:color w:val="auto"/>
          <w:sz w:val="30"/>
          <w:szCs w:val="30"/>
        </w:rPr>
        <w:t>6、申请前两个年度境内资产负债表、利润表等财务报表</w:t>
      </w:r>
    </w:p>
    <w:p>
      <w:pPr>
        <w:widowControl/>
        <w:adjustRightInd w:val="0"/>
        <w:snapToGrid w:val="0"/>
        <w:spacing w:before="140"/>
        <w:jc w:val="center"/>
        <w:rPr>
          <w:rFonts w:ascii="黑体" w:hAnsi="黑体" w:eastAsia="黑体" w:cs="Arial"/>
          <w:kern w:val="0"/>
          <w:sz w:val="43"/>
          <w:szCs w:val="43"/>
        </w:rPr>
      </w:pPr>
      <w:r>
        <w:rPr>
          <w:rFonts w:hint="eastAsia" w:ascii="黑体" w:hAnsi="黑体" w:eastAsia="黑体" w:cs="Arial"/>
          <w:spacing w:val="4"/>
          <w:kern w:val="0"/>
          <w:sz w:val="43"/>
          <w:szCs w:val="43"/>
        </w:rPr>
        <w:t>资产负债表</w:t>
      </w:r>
    </w:p>
    <w:p>
      <w:pPr>
        <w:widowControl/>
        <w:adjustRightInd w:val="0"/>
        <w:snapToGrid w:val="0"/>
        <w:spacing w:before="3" w:line="273" w:lineRule="atLeast"/>
        <w:ind w:firstLine="2802"/>
        <w:jc w:val="left"/>
        <w:rPr>
          <w:rFonts w:ascii="宋体" w:hAnsi="宋体" w:cs="Arial"/>
          <w:spacing w:val="-15"/>
          <w:kern w:val="0"/>
          <w:position w:val="4"/>
          <w:sz w:val="20"/>
          <w:szCs w:val="20"/>
        </w:rPr>
      </w:pPr>
    </w:p>
    <w:p>
      <w:pPr>
        <w:widowControl/>
        <w:adjustRightInd w:val="0"/>
        <w:snapToGrid w:val="0"/>
        <w:spacing w:before="3" w:line="273" w:lineRule="atLeast"/>
        <w:jc w:val="center"/>
        <w:rPr>
          <w:rFonts w:ascii="宋体" w:hAnsi="宋体" w:cs="Arial"/>
          <w:kern w:val="0"/>
          <w:sz w:val="20"/>
          <w:szCs w:val="20"/>
        </w:rPr>
      </w:pPr>
      <w:r>
        <w:rPr>
          <w:rFonts w:hint="eastAsia" w:ascii="宋体" w:hAnsi="宋体" w:cs="Arial"/>
          <w:spacing w:val="-15"/>
          <w:kern w:val="0"/>
          <w:position w:val="4"/>
          <w:sz w:val="20"/>
          <w:szCs w:val="20"/>
        </w:rPr>
        <w:t>报告日期：  年   月   日</w:t>
      </w:r>
    </w:p>
    <w:p>
      <w:pPr>
        <w:widowControl/>
        <w:adjustRightInd w:val="0"/>
        <w:snapToGrid w:val="0"/>
        <w:ind w:firstLine="122"/>
        <w:jc w:val="left"/>
        <w:rPr>
          <w:rFonts w:ascii="宋体" w:hAnsi="宋体" w:cs="Arial"/>
          <w:kern w:val="0"/>
          <w:sz w:val="20"/>
          <w:szCs w:val="20"/>
        </w:rPr>
      </w:pPr>
      <w:r>
        <w:rPr>
          <w:rFonts w:hint="eastAsia" w:ascii="宋体" w:hAnsi="宋体" w:cs="Arial"/>
          <w:spacing w:val="-19"/>
          <w:kern w:val="0"/>
          <w:sz w:val="20"/>
          <w:szCs w:val="20"/>
        </w:rPr>
        <w:t>编报单位：</w:t>
      </w:r>
    </w:p>
    <w:p>
      <w:pPr>
        <w:widowControl/>
        <w:adjustRightInd w:val="0"/>
        <w:snapToGrid w:val="0"/>
        <w:spacing w:before="26"/>
        <w:ind w:firstLine="121"/>
        <w:jc w:val="left"/>
        <w:rPr>
          <w:rFonts w:ascii="宋体" w:hAnsi="宋体" w:cs="Arial"/>
          <w:kern w:val="0"/>
          <w:sz w:val="20"/>
          <w:szCs w:val="20"/>
        </w:rPr>
      </w:pPr>
      <w:r>
        <w:rPr>
          <w:rFonts w:hint="eastAsia" w:ascii="宋体" w:hAnsi="宋体" w:cs="Arial"/>
          <w:spacing w:val="-4"/>
          <w:kern w:val="0"/>
          <w:sz w:val="20"/>
          <w:szCs w:val="20"/>
        </w:rPr>
        <w:t>各货币汇总折人民币单位：万元</w:t>
      </w:r>
    </w:p>
    <w:tbl>
      <w:tblPr>
        <w:tblStyle w:val="5"/>
        <w:tblW w:w="9064" w:type="dxa"/>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106"/>
        <w:gridCol w:w="705"/>
        <w:gridCol w:w="719"/>
        <w:gridCol w:w="3013"/>
        <w:gridCol w:w="751"/>
        <w:gridCol w:w="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0"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line="436" w:lineRule="auto"/>
              <w:jc w:val="left"/>
              <w:rPr>
                <w:rFonts w:cs="Arial"/>
                <w:kern w:val="0"/>
                <w:szCs w:val="21"/>
              </w:rPr>
            </w:pPr>
          </w:p>
          <w:p>
            <w:pPr>
              <w:widowControl/>
              <w:adjustRightInd w:val="0"/>
              <w:snapToGrid w:val="0"/>
              <w:spacing w:before="59"/>
              <w:ind w:firstLine="121"/>
              <w:jc w:val="left"/>
              <w:rPr>
                <w:rFonts w:ascii="宋体" w:hAnsi="宋体" w:cs="Arial"/>
                <w:kern w:val="0"/>
                <w:sz w:val="18"/>
                <w:szCs w:val="18"/>
              </w:rPr>
            </w:pPr>
            <w:r>
              <w:rPr>
                <w:rFonts w:hint="eastAsia" w:ascii="宋体" w:hAnsi="宋体" w:cs="Arial"/>
                <w:spacing w:val="-4"/>
                <w:kern w:val="0"/>
                <w:sz w:val="18"/>
                <w:szCs w:val="18"/>
              </w:rPr>
              <w:t>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spacing w:before="251" w:line="499" w:lineRule="atLeast"/>
              <w:ind w:firstLine="117"/>
              <w:jc w:val="left"/>
              <w:rPr>
                <w:rFonts w:ascii="宋体" w:hAnsi="宋体" w:cs="Arial"/>
                <w:kern w:val="0"/>
                <w:sz w:val="18"/>
                <w:szCs w:val="18"/>
              </w:rPr>
            </w:pPr>
            <w:r>
              <w:rPr>
                <w:rFonts w:hint="eastAsia" w:ascii="宋体" w:hAnsi="宋体" w:cs="Arial"/>
                <w:spacing w:val="-5"/>
                <w:kern w:val="0"/>
                <w:position w:val="25"/>
                <w:sz w:val="18"/>
                <w:szCs w:val="18"/>
              </w:rPr>
              <w:t>期末</w:t>
            </w:r>
          </w:p>
          <w:p>
            <w:pPr>
              <w:widowControl/>
              <w:adjustRightInd w:val="0"/>
              <w:snapToGrid w:val="0"/>
              <w:ind w:firstLine="115"/>
              <w:jc w:val="left"/>
              <w:rPr>
                <w:rFonts w:ascii="宋体" w:hAnsi="宋体" w:cs="Arial"/>
                <w:kern w:val="0"/>
                <w:sz w:val="18"/>
                <w:szCs w:val="18"/>
              </w:rPr>
            </w:pPr>
            <w:r>
              <w:rPr>
                <w:rFonts w:hint="eastAsia" w:ascii="宋体" w:hAnsi="宋体" w:cs="Arial"/>
                <w:spacing w:val="-3"/>
                <w:kern w:val="0"/>
                <w:sz w:val="18"/>
                <w:szCs w:val="18"/>
              </w:rPr>
              <w:t>余额</w:t>
            </w: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spacing w:before="251" w:line="499" w:lineRule="atLeast"/>
              <w:ind w:firstLine="115"/>
              <w:jc w:val="left"/>
              <w:rPr>
                <w:rFonts w:ascii="宋体" w:hAnsi="宋体" w:cs="Arial"/>
                <w:kern w:val="0"/>
                <w:sz w:val="18"/>
                <w:szCs w:val="18"/>
              </w:rPr>
            </w:pPr>
            <w:r>
              <w:rPr>
                <w:rFonts w:hint="eastAsia" w:ascii="宋体" w:hAnsi="宋体" w:cs="Arial"/>
                <w:spacing w:val="-4"/>
                <w:kern w:val="0"/>
                <w:position w:val="24"/>
                <w:sz w:val="18"/>
                <w:szCs w:val="18"/>
              </w:rPr>
              <w:t>年初</w:t>
            </w:r>
          </w:p>
          <w:p>
            <w:pPr>
              <w:widowControl/>
              <w:adjustRightInd w:val="0"/>
              <w:snapToGrid w:val="0"/>
              <w:ind w:firstLine="116"/>
              <w:jc w:val="left"/>
              <w:rPr>
                <w:rFonts w:ascii="宋体" w:hAnsi="宋体" w:cs="Arial"/>
                <w:kern w:val="0"/>
                <w:sz w:val="18"/>
                <w:szCs w:val="18"/>
              </w:rPr>
            </w:pPr>
            <w:r>
              <w:rPr>
                <w:rFonts w:hint="eastAsia" w:ascii="宋体" w:hAnsi="宋体" w:cs="Arial"/>
                <w:spacing w:val="-3"/>
                <w:kern w:val="0"/>
                <w:sz w:val="18"/>
                <w:szCs w:val="18"/>
              </w:rPr>
              <w:t>余额</w:t>
            </w: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line="436" w:lineRule="auto"/>
              <w:jc w:val="left"/>
              <w:rPr>
                <w:rFonts w:cs="Arial"/>
                <w:kern w:val="0"/>
                <w:szCs w:val="21"/>
              </w:rPr>
            </w:pPr>
          </w:p>
          <w:p>
            <w:pPr>
              <w:widowControl/>
              <w:adjustRightInd w:val="0"/>
              <w:snapToGrid w:val="0"/>
              <w:spacing w:before="59"/>
              <w:ind w:firstLine="123"/>
              <w:jc w:val="left"/>
              <w:rPr>
                <w:rFonts w:ascii="宋体" w:hAnsi="宋体" w:cs="Arial"/>
                <w:kern w:val="0"/>
                <w:sz w:val="18"/>
                <w:szCs w:val="18"/>
              </w:rPr>
            </w:pPr>
            <w:r>
              <w:rPr>
                <w:rFonts w:hint="eastAsia" w:ascii="宋体" w:hAnsi="宋体" w:cs="Arial"/>
                <w:spacing w:val="-2"/>
                <w:kern w:val="0"/>
                <w:sz w:val="18"/>
                <w:szCs w:val="18"/>
              </w:rPr>
              <w:t>负债和所有者权益（或股东权益）</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spacing w:before="251" w:line="499" w:lineRule="atLeast"/>
              <w:ind w:firstLine="120"/>
              <w:jc w:val="left"/>
              <w:rPr>
                <w:rFonts w:ascii="宋体" w:hAnsi="宋体" w:cs="Arial"/>
                <w:kern w:val="0"/>
                <w:sz w:val="18"/>
                <w:szCs w:val="18"/>
              </w:rPr>
            </w:pPr>
            <w:r>
              <w:rPr>
                <w:rFonts w:hint="eastAsia" w:ascii="宋体" w:hAnsi="宋体" w:cs="Arial"/>
                <w:spacing w:val="-5"/>
                <w:kern w:val="0"/>
                <w:position w:val="25"/>
                <w:sz w:val="18"/>
                <w:szCs w:val="18"/>
              </w:rPr>
              <w:t>期末</w:t>
            </w:r>
          </w:p>
          <w:p>
            <w:pPr>
              <w:widowControl/>
              <w:adjustRightInd w:val="0"/>
              <w:snapToGrid w:val="0"/>
              <w:ind w:firstLine="118"/>
              <w:jc w:val="left"/>
              <w:rPr>
                <w:rFonts w:ascii="宋体" w:hAnsi="宋体" w:cs="Arial"/>
                <w:kern w:val="0"/>
                <w:sz w:val="18"/>
                <w:szCs w:val="18"/>
              </w:rPr>
            </w:pPr>
            <w:r>
              <w:rPr>
                <w:rFonts w:hint="eastAsia" w:ascii="宋体" w:hAnsi="宋体" w:cs="Arial"/>
                <w:spacing w:val="-3"/>
                <w:kern w:val="0"/>
                <w:sz w:val="18"/>
                <w:szCs w:val="18"/>
              </w:rPr>
              <w:t>余额</w:t>
            </w: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spacing w:before="251" w:line="499" w:lineRule="atLeast"/>
              <w:ind w:firstLine="115"/>
              <w:jc w:val="left"/>
              <w:rPr>
                <w:rFonts w:ascii="宋体" w:hAnsi="宋体" w:cs="Arial"/>
                <w:kern w:val="0"/>
                <w:sz w:val="18"/>
                <w:szCs w:val="18"/>
              </w:rPr>
            </w:pPr>
            <w:r>
              <w:rPr>
                <w:rFonts w:hint="eastAsia" w:ascii="宋体" w:hAnsi="宋体" w:cs="Arial"/>
                <w:kern w:val="0"/>
                <w:position w:val="24"/>
                <w:sz w:val="18"/>
                <w:szCs w:val="18"/>
              </w:rPr>
              <w:t>年初余</w:t>
            </w:r>
          </w:p>
          <w:p>
            <w:pPr>
              <w:widowControl/>
              <w:adjustRightInd w:val="0"/>
              <w:snapToGrid w:val="0"/>
              <w:ind w:firstLine="114"/>
              <w:jc w:val="left"/>
              <w:rPr>
                <w:rFonts w:ascii="宋体" w:hAnsi="宋体" w:cs="Arial"/>
                <w:kern w:val="0"/>
                <w:sz w:val="18"/>
                <w:szCs w:val="18"/>
              </w:rPr>
            </w:pPr>
            <w:r>
              <w:rPr>
                <w:rFonts w:hint="eastAsia" w:ascii="宋体" w:hAnsi="宋体" w:cs="Arial"/>
                <w:kern w:val="0"/>
                <w:sz w:val="18"/>
                <w:szCs w:val="18"/>
              </w:rPr>
              <w:t>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69"/>
              <w:ind w:firstLine="121"/>
              <w:jc w:val="left"/>
              <w:rPr>
                <w:rFonts w:ascii="宋体" w:hAnsi="宋体" w:cs="Arial"/>
                <w:kern w:val="0"/>
                <w:sz w:val="18"/>
                <w:szCs w:val="18"/>
              </w:rPr>
            </w:pPr>
            <w:r>
              <w:rPr>
                <w:rFonts w:hint="eastAsia" w:ascii="宋体" w:hAnsi="宋体" w:cs="Arial"/>
                <w:spacing w:val="-13"/>
                <w:kern w:val="0"/>
                <w:sz w:val="18"/>
                <w:szCs w:val="18"/>
              </w:rPr>
              <w:t>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97"/>
              <w:ind w:firstLine="123"/>
              <w:jc w:val="left"/>
              <w:rPr>
                <w:rFonts w:ascii="宋体" w:hAnsi="宋体" w:cs="Arial"/>
                <w:kern w:val="0"/>
                <w:sz w:val="18"/>
                <w:szCs w:val="18"/>
              </w:rPr>
            </w:pPr>
            <w:r>
              <w:rPr>
                <w:rFonts w:hint="eastAsia" w:ascii="宋体" w:hAnsi="宋体" w:cs="Arial"/>
                <w:spacing w:val="-13"/>
                <w:kern w:val="0"/>
                <w:sz w:val="18"/>
                <w:szCs w:val="18"/>
              </w:rPr>
              <w:t>负债：</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69"/>
              <w:ind w:firstLine="294"/>
              <w:jc w:val="left"/>
              <w:rPr>
                <w:rFonts w:ascii="宋体" w:hAnsi="宋体" w:cs="Arial"/>
                <w:kern w:val="0"/>
                <w:sz w:val="18"/>
                <w:szCs w:val="18"/>
              </w:rPr>
            </w:pPr>
            <w:r>
              <w:rPr>
                <w:rFonts w:hint="eastAsia" w:ascii="宋体" w:hAnsi="宋体" w:cs="Arial"/>
                <w:spacing w:val="-1"/>
                <w:kern w:val="0"/>
                <w:sz w:val="18"/>
                <w:szCs w:val="18"/>
              </w:rPr>
              <w:t>现金及存放中央银行款项</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0"/>
              <w:ind w:firstLine="317"/>
              <w:jc w:val="left"/>
              <w:rPr>
                <w:rFonts w:ascii="宋体" w:hAnsi="宋体" w:cs="Arial"/>
                <w:kern w:val="0"/>
                <w:sz w:val="18"/>
                <w:szCs w:val="18"/>
              </w:rPr>
            </w:pPr>
            <w:r>
              <w:rPr>
                <w:rFonts w:hint="eastAsia" w:ascii="宋体" w:hAnsi="宋体" w:cs="Arial"/>
                <w:spacing w:val="-4"/>
                <w:kern w:val="0"/>
                <w:sz w:val="18"/>
                <w:szCs w:val="18"/>
              </w:rPr>
              <w:t>向中央银行借款</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69"/>
              <w:ind w:firstLine="294"/>
              <w:jc w:val="left"/>
              <w:rPr>
                <w:rFonts w:ascii="宋体" w:hAnsi="宋体" w:cs="Arial"/>
                <w:kern w:val="0"/>
                <w:sz w:val="18"/>
                <w:szCs w:val="18"/>
              </w:rPr>
            </w:pPr>
            <w:r>
              <w:rPr>
                <w:rFonts w:hint="eastAsia" w:ascii="宋体" w:hAnsi="宋体" w:cs="Arial"/>
                <w:spacing w:val="-1"/>
                <w:kern w:val="0"/>
                <w:sz w:val="18"/>
                <w:szCs w:val="18"/>
              </w:rPr>
              <w:t>存放同业款项</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0"/>
              <w:ind w:firstLine="313"/>
              <w:jc w:val="left"/>
              <w:rPr>
                <w:rFonts w:ascii="宋体" w:hAnsi="宋体" w:cs="Arial"/>
                <w:kern w:val="0"/>
                <w:sz w:val="18"/>
                <w:szCs w:val="18"/>
              </w:rPr>
            </w:pPr>
            <w:r>
              <w:rPr>
                <w:rFonts w:hint="eastAsia" w:ascii="宋体" w:hAnsi="宋体" w:cs="Arial"/>
                <w:spacing w:val="-2"/>
                <w:kern w:val="0"/>
                <w:sz w:val="18"/>
                <w:szCs w:val="18"/>
              </w:rPr>
              <w:t>同业及其他金融机构存放款项</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69"/>
              <w:ind w:firstLine="296"/>
              <w:jc w:val="left"/>
              <w:rPr>
                <w:rFonts w:ascii="宋体" w:hAnsi="宋体" w:cs="Arial"/>
                <w:kern w:val="0"/>
                <w:sz w:val="18"/>
                <w:szCs w:val="18"/>
              </w:rPr>
            </w:pPr>
            <w:r>
              <w:rPr>
                <w:rFonts w:hint="eastAsia" w:ascii="宋体" w:hAnsi="宋体" w:cs="Arial"/>
                <w:spacing w:val="-3"/>
                <w:kern w:val="0"/>
                <w:sz w:val="18"/>
                <w:szCs w:val="18"/>
              </w:rPr>
              <w:t>贵金属</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0"/>
              <w:ind w:firstLine="295"/>
              <w:jc w:val="left"/>
              <w:rPr>
                <w:rFonts w:ascii="宋体" w:hAnsi="宋体" w:cs="Arial"/>
                <w:kern w:val="0"/>
                <w:sz w:val="18"/>
                <w:szCs w:val="18"/>
              </w:rPr>
            </w:pPr>
            <w:r>
              <w:rPr>
                <w:rFonts w:hint="eastAsia" w:ascii="宋体" w:hAnsi="宋体" w:cs="Arial"/>
                <w:spacing w:val="-2"/>
                <w:kern w:val="0"/>
                <w:sz w:val="18"/>
                <w:szCs w:val="18"/>
              </w:rPr>
              <w:t>拆入资金</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0"/>
              <w:ind w:firstLine="294"/>
              <w:jc w:val="left"/>
              <w:rPr>
                <w:rFonts w:ascii="宋体" w:hAnsi="宋体" w:cs="Arial"/>
                <w:kern w:val="0"/>
                <w:sz w:val="18"/>
                <w:szCs w:val="18"/>
              </w:rPr>
            </w:pPr>
            <w:r>
              <w:rPr>
                <w:rFonts w:hint="eastAsia" w:ascii="宋体" w:hAnsi="宋体" w:cs="Arial"/>
                <w:spacing w:val="-2"/>
                <w:kern w:val="0"/>
                <w:sz w:val="18"/>
                <w:szCs w:val="18"/>
              </w:rPr>
              <w:t>拆出资金</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99"/>
              <w:ind w:firstLine="298"/>
              <w:jc w:val="left"/>
              <w:rPr>
                <w:rFonts w:ascii="宋体" w:hAnsi="宋体" w:cs="Arial"/>
                <w:kern w:val="0"/>
                <w:sz w:val="18"/>
                <w:szCs w:val="18"/>
              </w:rPr>
            </w:pPr>
            <w:r>
              <w:rPr>
                <w:rFonts w:hint="eastAsia" w:ascii="宋体" w:hAnsi="宋体" w:cs="Arial"/>
                <w:spacing w:val="-2"/>
                <w:kern w:val="0"/>
                <w:sz w:val="18"/>
                <w:szCs w:val="18"/>
              </w:rPr>
              <w:t>交易性金融负债</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0"/>
              <w:ind w:firstLine="296"/>
              <w:jc w:val="left"/>
              <w:rPr>
                <w:rFonts w:ascii="宋体" w:hAnsi="宋体" w:cs="Arial"/>
                <w:kern w:val="0"/>
                <w:sz w:val="18"/>
                <w:szCs w:val="18"/>
              </w:rPr>
            </w:pPr>
            <w:r>
              <w:rPr>
                <w:rFonts w:hint="eastAsia" w:ascii="宋体" w:hAnsi="宋体" w:cs="Arial"/>
                <w:spacing w:val="-2"/>
                <w:kern w:val="0"/>
                <w:sz w:val="18"/>
                <w:szCs w:val="18"/>
              </w:rPr>
              <w:t>交易性金融资产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99"/>
              <w:ind w:firstLine="295"/>
              <w:jc w:val="left"/>
              <w:rPr>
                <w:rFonts w:ascii="宋体" w:hAnsi="宋体" w:cs="Arial"/>
                <w:kern w:val="0"/>
                <w:sz w:val="18"/>
                <w:szCs w:val="18"/>
              </w:rPr>
            </w:pPr>
            <w:r>
              <w:rPr>
                <w:rFonts w:hint="eastAsia" w:ascii="宋体" w:hAnsi="宋体" w:cs="Arial"/>
                <w:spacing w:val="-1"/>
                <w:kern w:val="0"/>
                <w:sz w:val="18"/>
                <w:szCs w:val="18"/>
              </w:rPr>
              <w:t>衍生金融负债</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1"/>
              <w:ind w:firstLine="294"/>
              <w:jc w:val="left"/>
              <w:rPr>
                <w:rFonts w:ascii="宋体" w:hAnsi="宋体" w:cs="Arial"/>
                <w:kern w:val="0"/>
                <w:sz w:val="18"/>
                <w:szCs w:val="18"/>
              </w:rPr>
            </w:pPr>
            <w:r>
              <w:rPr>
                <w:rFonts w:hint="eastAsia" w:ascii="宋体" w:hAnsi="宋体" w:cs="Arial"/>
                <w:spacing w:val="-1"/>
                <w:kern w:val="0"/>
                <w:sz w:val="18"/>
                <w:szCs w:val="18"/>
              </w:rPr>
              <w:t>衍生金融资产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99"/>
              <w:ind w:firstLine="293"/>
              <w:jc w:val="left"/>
              <w:rPr>
                <w:rFonts w:ascii="宋体" w:hAnsi="宋体" w:cs="Arial"/>
                <w:kern w:val="0"/>
                <w:sz w:val="18"/>
                <w:szCs w:val="18"/>
              </w:rPr>
            </w:pPr>
            <w:r>
              <w:rPr>
                <w:rFonts w:hint="eastAsia" w:ascii="宋体" w:hAnsi="宋体" w:cs="Arial"/>
                <w:spacing w:val="-1"/>
                <w:kern w:val="0"/>
                <w:sz w:val="18"/>
                <w:szCs w:val="18"/>
              </w:rPr>
              <w:t>卖出回购金融资产款</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1"/>
              <w:ind w:firstLine="299"/>
              <w:jc w:val="left"/>
              <w:rPr>
                <w:rFonts w:ascii="宋体" w:hAnsi="宋体" w:cs="Arial"/>
                <w:kern w:val="0"/>
                <w:sz w:val="18"/>
                <w:szCs w:val="18"/>
              </w:rPr>
            </w:pPr>
            <w:r>
              <w:rPr>
                <w:rFonts w:hint="eastAsia" w:ascii="宋体" w:hAnsi="宋体" w:cs="Arial"/>
                <w:spacing w:val="-2"/>
                <w:kern w:val="0"/>
                <w:sz w:val="18"/>
                <w:szCs w:val="18"/>
              </w:rPr>
              <w:t>买入返售金融资产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2"/>
              <w:ind w:firstLine="303"/>
              <w:jc w:val="left"/>
              <w:rPr>
                <w:rFonts w:ascii="宋体" w:hAnsi="宋体" w:cs="Arial"/>
                <w:kern w:val="0"/>
                <w:sz w:val="18"/>
                <w:szCs w:val="18"/>
              </w:rPr>
            </w:pPr>
            <w:r>
              <w:rPr>
                <w:rFonts w:hint="eastAsia" w:ascii="宋体" w:hAnsi="宋体" w:cs="Arial"/>
                <w:spacing w:val="-3"/>
                <w:kern w:val="0"/>
                <w:sz w:val="18"/>
                <w:szCs w:val="18"/>
              </w:rPr>
              <w:t>吸收存款</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1"/>
              <w:ind w:firstLine="294"/>
              <w:jc w:val="left"/>
              <w:rPr>
                <w:rFonts w:ascii="宋体" w:hAnsi="宋体" w:cs="Arial"/>
                <w:kern w:val="0"/>
                <w:sz w:val="18"/>
                <w:szCs w:val="18"/>
              </w:rPr>
            </w:pPr>
            <w:r>
              <w:rPr>
                <w:rFonts w:hint="eastAsia" w:ascii="宋体" w:hAnsi="宋体" w:cs="Arial"/>
                <w:spacing w:val="-2"/>
                <w:kern w:val="0"/>
                <w:sz w:val="18"/>
                <w:szCs w:val="18"/>
              </w:rPr>
              <w:t>应收利息</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2"/>
              <w:ind w:firstLine="296"/>
              <w:jc w:val="left"/>
              <w:rPr>
                <w:rFonts w:ascii="宋体" w:hAnsi="宋体" w:cs="Arial"/>
                <w:kern w:val="0"/>
                <w:sz w:val="18"/>
                <w:szCs w:val="18"/>
              </w:rPr>
            </w:pPr>
            <w:r>
              <w:rPr>
                <w:rFonts w:hint="eastAsia" w:ascii="宋体" w:hAnsi="宋体" w:cs="Arial"/>
                <w:spacing w:val="-1"/>
                <w:kern w:val="0"/>
                <w:sz w:val="18"/>
                <w:szCs w:val="18"/>
              </w:rPr>
              <w:t>应付职工薪酬</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1"/>
              <w:ind w:firstLine="297"/>
              <w:jc w:val="left"/>
              <w:rPr>
                <w:rFonts w:ascii="宋体" w:hAnsi="宋体" w:cs="Arial"/>
                <w:kern w:val="0"/>
                <w:sz w:val="18"/>
                <w:szCs w:val="18"/>
              </w:rPr>
            </w:pPr>
            <w:r>
              <w:rPr>
                <w:rFonts w:hint="eastAsia" w:ascii="宋体" w:hAnsi="宋体" w:cs="Arial"/>
                <w:spacing w:val="-2"/>
                <w:kern w:val="0"/>
                <w:sz w:val="18"/>
                <w:szCs w:val="18"/>
              </w:rPr>
              <w:t>发放贷款和垫款</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2"/>
              <w:ind w:firstLine="296"/>
              <w:jc w:val="left"/>
              <w:rPr>
                <w:rFonts w:ascii="宋体" w:hAnsi="宋体" w:cs="Arial"/>
                <w:kern w:val="0"/>
                <w:sz w:val="18"/>
                <w:szCs w:val="18"/>
              </w:rPr>
            </w:pPr>
            <w:r>
              <w:rPr>
                <w:rFonts w:hint="eastAsia" w:ascii="宋体" w:hAnsi="宋体" w:cs="Arial"/>
                <w:spacing w:val="-2"/>
                <w:kern w:val="0"/>
                <w:sz w:val="18"/>
                <w:szCs w:val="18"/>
              </w:rPr>
              <w:t>应交税费</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2"/>
              <w:ind w:firstLine="296"/>
              <w:jc w:val="left"/>
              <w:rPr>
                <w:rFonts w:ascii="宋体" w:hAnsi="宋体" w:cs="Arial"/>
                <w:kern w:val="0"/>
                <w:sz w:val="18"/>
                <w:szCs w:val="18"/>
              </w:rPr>
            </w:pPr>
            <w:r>
              <w:rPr>
                <w:rFonts w:hint="eastAsia" w:ascii="宋体" w:hAnsi="宋体" w:cs="Arial"/>
                <w:spacing w:val="-1"/>
                <w:kern w:val="0"/>
                <w:sz w:val="18"/>
                <w:szCs w:val="18"/>
              </w:rPr>
              <w:t>可供出售金融资产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1"/>
              <w:ind w:firstLine="296"/>
              <w:jc w:val="left"/>
              <w:rPr>
                <w:rFonts w:ascii="宋体" w:hAnsi="宋体" w:cs="Arial"/>
                <w:kern w:val="0"/>
                <w:sz w:val="18"/>
                <w:szCs w:val="18"/>
              </w:rPr>
            </w:pPr>
            <w:r>
              <w:rPr>
                <w:rFonts w:hint="eastAsia" w:ascii="宋体" w:hAnsi="宋体" w:cs="Arial"/>
                <w:spacing w:val="-2"/>
                <w:kern w:val="0"/>
                <w:sz w:val="18"/>
                <w:szCs w:val="18"/>
              </w:rPr>
              <w:t>应付利息</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2"/>
              <w:ind w:firstLine="296"/>
              <w:jc w:val="left"/>
              <w:rPr>
                <w:rFonts w:ascii="宋体" w:hAnsi="宋体" w:cs="Arial"/>
                <w:kern w:val="0"/>
                <w:sz w:val="18"/>
                <w:szCs w:val="18"/>
              </w:rPr>
            </w:pPr>
            <w:r>
              <w:rPr>
                <w:rFonts w:hint="eastAsia" w:ascii="宋体" w:hAnsi="宋体" w:cs="Arial"/>
                <w:spacing w:val="-2"/>
                <w:kern w:val="0"/>
                <w:sz w:val="18"/>
                <w:szCs w:val="18"/>
              </w:rPr>
              <w:t>持有至到期投资</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1"/>
              <w:ind w:firstLine="296"/>
              <w:jc w:val="left"/>
              <w:rPr>
                <w:rFonts w:ascii="宋体" w:hAnsi="宋体" w:cs="Arial"/>
                <w:kern w:val="0"/>
                <w:sz w:val="18"/>
                <w:szCs w:val="18"/>
              </w:rPr>
            </w:pPr>
            <w:r>
              <w:rPr>
                <w:rFonts w:hint="eastAsia" w:ascii="宋体" w:hAnsi="宋体" w:cs="Arial"/>
                <w:spacing w:val="-2"/>
                <w:kern w:val="0"/>
                <w:sz w:val="18"/>
                <w:szCs w:val="18"/>
              </w:rPr>
              <w:t>预计负债</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3"/>
              <w:ind w:firstLine="295"/>
              <w:jc w:val="left"/>
              <w:rPr>
                <w:rFonts w:ascii="宋体" w:hAnsi="宋体" w:cs="Arial"/>
                <w:kern w:val="0"/>
                <w:sz w:val="18"/>
                <w:szCs w:val="18"/>
              </w:rPr>
            </w:pPr>
            <w:r>
              <w:rPr>
                <w:rFonts w:hint="eastAsia" w:ascii="宋体" w:hAnsi="宋体" w:cs="Arial"/>
                <w:spacing w:val="-1"/>
                <w:kern w:val="0"/>
                <w:sz w:val="18"/>
                <w:szCs w:val="18"/>
              </w:rPr>
              <w:t>货款及应收款项类债券</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1"/>
              <w:ind w:firstLine="296"/>
              <w:jc w:val="left"/>
              <w:rPr>
                <w:rFonts w:ascii="宋体" w:hAnsi="宋体" w:cs="Arial"/>
                <w:kern w:val="0"/>
                <w:sz w:val="18"/>
                <w:szCs w:val="18"/>
              </w:rPr>
            </w:pPr>
            <w:r>
              <w:rPr>
                <w:rFonts w:hint="eastAsia" w:ascii="宋体" w:hAnsi="宋体" w:cs="Arial"/>
                <w:spacing w:val="-2"/>
                <w:kern w:val="0"/>
                <w:sz w:val="18"/>
                <w:szCs w:val="18"/>
              </w:rPr>
              <w:t>应付债券</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3"/>
              <w:ind w:firstLine="295"/>
              <w:jc w:val="left"/>
              <w:rPr>
                <w:rFonts w:ascii="宋体" w:hAnsi="宋体" w:cs="Arial"/>
                <w:kern w:val="0"/>
                <w:sz w:val="18"/>
                <w:szCs w:val="18"/>
              </w:rPr>
            </w:pPr>
            <w:r>
              <w:rPr>
                <w:rFonts w:hint="eastAsia" w:ascii="宋体" w:hAnsi="宋体" w:cs="Arial"/>
                <w:spacing w:val="-2"/>
                <w:kern w:val="0"/>
                <w:sz w:val="18"/>
                <w:szCs w:val="18"/>
              </w:rPr>
              <w:t>长期股权投资</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4"/>
              <w:ind w:firstLine="296"/>
              <w:jc w:val="left"/>
              <w:rPr>
                <w:rFonts w:ascii="宋体" w:hAnsi="宋体" w:cs="Arial"/>
                <w:kern w:val="0"/>
                <w:sz w:val="18"/>
                <w:szCs w:val="18"/>
              </w:rPr>
            </w:pPr>
            <w:r>
              <w:rPr>
                <w:rFonts w:hint="eastAsia" w:ascii="宋体" w:hAnsi="宋体" w:cs="Arial"/>
                <w:spacing w:val="-1"/>
                <w:kern w:val="0"/>
                <w:sz w:val="18"/>
                <w:szCs w:val="18"/>
              </w:rPr>
              <w:t>递延所得税负债</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3"/>
              <w:ind w:firstLine="294"/>
              <w:jc w:val="left"/>
              <w:rPr>
                <w:rFonts w:ascii="宋体" w:hAnsi="宋体" w:cs="Arial"/>
                <w:kern w:val="0"/>
                <w:sz w:val="18"/>
                <w:szCs w:val="18"/>
              </w:rPr>
            </w:pPr>
            <w:r>
              <w:rPr>
                <w:rFonts w:hint="eastAsia" w:ascii="宋体" w:hAnsi="宋体" w:cs="Arial"/>
                <w:spacing w:val="-1"/>
                <w:kern w:val="0"/>
                <w:sz w:val="18"/>
                <w:szCs w:val="18"/>
              </w:rPr>
              <w:t>投资性房地产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4"/>
              <w:ind w:firstLine="295"/>
              <w:jc w:val="left"/>
              <w:rPr>
                <w:rFonts w:ascii="宋体" w:hAnsi="宋体" w:cs="Arial"/>
                <w:kern w:val="0"/>
                <w:sz w:val="18"/>
                <w:szCs w:val="18"/>
              </w:rPr>
            </w:pPr>
            <w:r>
              <w:rPr>
                <w:rFonts w:hint="eastAsia" w:ascii="宋体" w:hAnsi="宋体" w:cs="Arial"/>
                <w:spacing w:val="-2"/>
                <w:kern w:val="0"/>
                <w:sz w:val="18"/>
                <w:szCs w:val="18"/>
              </w:rPr>
              <w:t>其他负债</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3"/>
              <w:ind w:firstLine="310"/>
              <w:jc w:val="left"/>
              <w:rPr>
                <w:rFonts w:ascii="宋体" w:hAnsi="宋体" w:cs="Arial"/>
                <w:kern w:val="0"/>
                <w:sz w:val="18"/>
                <w:szCs w:val="18"/>
              </w:rPr>
            </w:pPr>
            <w:r>
              <w:rPr>
                <w:rFonts w:hint="eastAsia" w:ascii="宋体" w:hAnsi="宋体" w:cs="Arial"/>
                <w:spacing w:val="-5"/>
                <w:kern w:val="0"/>
                <w:sz w:val="18"/>
                <w:szCs w:val="18"/>
              </w:rPr>
              <w:t>固定资产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5"/>
              <w:ind w:firstLine="123"/>
              <w:jc w:val="left"/>
              <w:rPr>
                <w:rFonts w:ascii="宋体" w:hAnsi="宋体" w:cs="Arial"/>
                <w:kern w:val="0"/>
                <w:sz w:val="18"/>
                <w:szCs w:val="18"/>
              </w:rPr>
            </w:pPr>
            <w:r>
              <w:rPr>
                <w:rFonts w:hint="eastAsia" w:ascii="宋体" w:hAnsi="宋体" w:cs="Arial"/>
                <w:spacing w:val="-3"/>
                <w:kern w:val="0"/>
                <w:sz w:val="18"/>
                <w:szCs w:val="18"/>
              </w:rPr>
              <w:t>负债合计</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4"/>
              <w:ind w:firstLine="294"/>
              <w:jc w:val="left"/>
              <w:rPr>
                <w:rFonts w:ascii="宋体" w:hAnsi="宋体" w:cs="Arial"/>
                <w:kern w:val="0"/>
                <w:sz w:val="18"/>
                <w:szCs w:val="18"/>
              </w:rPr>
            </w:pPr>
            <w:r>
              <w:rPr>
                <w:rFonts w:hint="eastAsia" w:ascii="宋体" w:hAnsi="宋体" w:cs="Arial"/>
                <w:spacing w:val="-2"/>
                <w:kern w:val="0"/>
                <w:sz w:val="18"/>
                <w:szCs w:val="18"/>
              </w:rPr>
              <w:t>无形资产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4"/>
              <w:ind w:firstLine="295"/>
              <w:jc w:val="left"/>
              <w:rPr>
                <w:rFonts w:ascii="宋体" w:hAnsi="宋体" w:cs="Arial"/>
                <w:kern w:val="0"/>
                <w:sz w:val="18"/>
                <w:szCs w:val="18"/>
              </w:rPr>
            </w:pPr>
            <w:r>
              <w:rPr>
                <w:rFonts w:hint="eastAsia" w:ascii="宋体" w:hAnsi="宋体" w:cs="Arial"/>
                <w:spacing w:val="-1"/>
                <w:kern w:val="0"/>
                <w:sz w:val="18"/>
                <w:szCs w:val="18"/>
              </w:rPr>
              <w:t>递延所得税资产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3"/>
              <w:ind w:firstLine="116"/>
              <w:jc w:val="left"/>
              <w:rPr>
                <w:rFonts w:ascii="宋体" w:hAnsi="宋体" w:cs="Arial"/>
                <w:kern w:val="0"/>
                <w:sz w:val="18"/>
                <w:szCs w:val="18"/>
              </w:rPr>
            </w:pPr>
            <w:r>
              <w:rPr>
                <w:rFonts w:hint="eastAsia" w:ascii="宋体" w:hAnsi="宋体" w:cs="Arial"/>
                <w:spacing w:val="-1"/>
                <w:kern w:val="0"/>
                <w:sz w:val="18"/>
                <w:szCs w:val="18"/>
              </w:rPr>
              <w:t>所有者权益（或股东权益</w:t>
            </w:r>
            <w:r>
              <w:rPr>
                <w:rFonts w:hint="eastAsia" w:ascii="宋体" w:hAnsi="宋体" w:cs="Arial"/>
                <w:spacing w:val="-47"/>
                <w:kern w:val="0"/>
                <w:sz w:val="18"/>
                <w:szCs w:val="18"/>
              </w:rPr>
              <w:t>）：</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5"/>
              <w:ind w:firstLine="294"/>
              <w:jc w:val="left"/>
              <w:rPr>
                <w:rFonts w:ascii="宋体" w:hAnsi="宋体" w:cs="Arial"/>
                <w:kern w:val="0"/>
                <w:sz w:val="18"/>
                <w:szCs w:val="18"/>
              </w:rPr>
            </w:pPr>
            <w:r>
              <w:rPr>
                <w:rFonts w:hint="eastAsia" w:ascii="宋体" w:hAnsi="宋体" w:cs="Arial"/>
                <w:spacing w:val="-2"/>
                <w:kern w:val="0"/>
                <w:sz w:val="18"/>
                <w:szCs w:val="18"/>
              </w:rPr>
              <w:t>存放联行</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86"/>
              <w:ind w:firstLine="300"/>
              <w:jc w:val="left"/>
              <w:rPr>
                <w:rFonts w:cs="Arial"/>
                <w:kern w:val="0"/>
                <w:sz w:val="18"/>
                <w:szCs w:val="18"/>
              </w:rPr>
            </w:pPr>
            <w:r>
              <w:rPr>
                <w:rFonts w:hint="eastAsia" w:ascii="宋体" w:hAnsi="宋体" w:cs="Arial"/>
                <w:spacing w:val="-2"/>
                <w:kern w:val="0"/>
                <w:sz w:val="18"/>
                <w:szCs w:val="18"/>
              </w:rPr>
              <w:t>实收资本</w:t>
            </w:r>
            <w:r>
              <w:rPr>
                <w:rFonts w:cs="Arial"/>
                <w:spacing w:val="-2"/>
                <w:kern w:val="0"/>
                <w:sz w:val="18"/>
                <w:szCs w:val="18"/>
              </w:rPr>
              <w:t>(</w:t>
            </w:r>
            <w:r>
              <w:rPr>
                <w:rFonts w:hint="eastAsia" w:ascii="宋体" w:hAnsi="宋体" w:cs="Arial"/>
                <w:spacing w:val="-2"/>
                <w:kern w:val="0"/>
                <w:sz w:val="18"/>
                <w:szCs w:val="18"/>
              </w:rPr>
              <w:t>或股本</w:t>
            </w:r>
            <w:r>
              <w:rPr>
                <w:rFonts w:cs="Arial"/>
                <w:spacing w:val="-2"/>
                <w:kern w:val="0"/>
                <w:sz w:val="18"/>
                <w:szCs w:val="18"/>
              </w:rPr>
              <w:t>)</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5"/>
              <w:ind w:firstLine="294"/>
              <w:jc w:val="left"/>
              <w:rPr>
                <w:rFonts w:ascii="宋体" w:hAnsi="宋体" w:cs="Arial"/>
                <w:kern w:val="0"/>
                <w:sz w:val="18"/>
                <w:szCs w:val="18"/>
              </w:rPr>
            </w:pPr>
            <w:r>
              <w:rPr>
                <w:rFonts w:hint="eastAsia" w:ascii="宋体" w:hAnsi="宋体" w:cs="Arial"/>
                <w:spacing w:val="-2"/>
                <w:kern w:val="0"/>
                <w:sz w:val="18"/>
                <w:szCs w:val="18"/>
              </w:rPr>
              <w:t>其他资产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6"/>
              <w:ind w:firstLine="303"/>
              <w:jc w:val="left"/>
              <w:rPr>
                <w:rFonts w:ascii="宋体" w:hAnsi="宋体" w:cs="Arial"/>
                <w:kern w:val="0"/>
                <w:sz w:val="18"/>
                <w:szCs w:val="18"/>
              </w:rPr>
            </w:pPr>
            <w:r>
              <w:rPr>
                <w:rFonts w:hint="eastAsia" w:ascii="宋体" w:hAnsi="宋体" w:cs="Arial"/>
                <w:spacing w:val="-3"/>
                <w:kern w:val="0"/>
                <w:sz w:val="18"/>
                <w:szCs w:val="18"/>
              </w:rPr>
              <w:t>资本公积</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6"/>
              <w:ind w:firstLine="297"/>
              <w:jc w:val="left"/>
              <w:rPr>
                <w:rFonts w:ascii="宋体" w:hAnsi="宋体" w:cs="Arial"/>
                <w:kern w:val="0"/>
                <w:sz w:val="18"/>
                <w:szCs w:val="18"/>
              </w:rPr>
            </w:pPr>
            <w:r>
              <w:rPr>
                <w:rFonts w:hint="eastAsia" w:ascii="宋体" w:hAnsi="宋体" w:cs="Arial"/>
                <w:spacing w:val="-2"/>
                <w:kern w:val="0"/>
                <w:sz w:val="18"/>
                <w:szCs w:val="18"/>
              </w:rPr>
              <w:t>盈余公积</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7"/>
              <w:ind w:firstLine="298"/>
              <w:jc w:val="left"/>
              <w:rPr>
                <w:rFonts w:ascii="宋体" w:hAnsi="宋体" w:cs="Arial"/>
                <w:kern w:val="0"/>
                <w:sz w:val="18"/>
                <w:szCs w:val="18"/>
              </w:rPr>
            </w:pPr>
            <w:r>
              <w:rPr>
                <w:rFonts w:hint="eastAsia" w:ascii="宋体" w:hAnsi="宋体" w:cs="Arial"/>
                <w:spacing w:val="-2"/>
                <w:kern w:val="0"/>
                <w:sz w:val="18"/>
                <w:szCs w:val="18"/>
              </w:rPr>
              <w:t>一般风险准备</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4"/>
              <w:ind w:firstLine="298"/>
              <w:jc w:val="left"/>
              <w:rPr>
                <w:rFonts w:ascii="宋体" w:hAnsi="宋体" w:cs="Arial"/>
                <w:kern w:val="0"/>
                <w:sz w:val="18"/>
                <w:szCs w:val="18"/>
              </w:rPr>
            </w:pPr>
            <w:r>
              <w:rPr>
                <w:rFonts w:hint="eastAsia" w:ascii="宋体" w:hAnsi="宋体" w:cs="Arial"/>
                <w:spacing w:val="-2"/>
                <w:kern w:val="0"/>
                <w:sz w:val="18"/>
                <w:szCs w:val="18"/>
              </w:rPr>
              <w:t>未分配利润</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4"/>
              <w:ind w:firstLine="116"/>
              <w:jc w:val="left"/>
              <w:rPr>
                <w:rFonts w:ascii="宋体" w:hAnsi="宋体" w:cs="Arial"/>
                <w:kern w:val="0"/>
                <w:sz w:val="18"/>
                <w:szCs w:val="18"/>
              </w:rPr>
            </w:pPr>
            <w:r>
              <w:rPr>
                <w:rFonts w:hint="eastAsia" w:ascii="宋体" w:hAnsi="宋体" w:cs="Arial"/>
                <w:spacing w:val="-1"/>
                <w:kern w:val="0"/>
                <w:sz w:val="18"/>
                <w:szCs w:val="18"/>
              </w:rPr>
              <w:t>所有者权益（或股东权益）合计</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262"/>
              <w:ind w:firstLine="121"/>
              <w:jc w:val="left"/>
              <w:rPr>
                <w:rFonts w:ascii="宋体" w:hAnsi="宋体" w:cs="Arial"/>
                <w:kern w:val="0"/>
                <w:sz w:val="18"/>
                <w:szCs w:val="18"/>
              </w:rPr>
            </w:pPr>
            <w:r>
              <w:rPr>
                <w:rFonts w:hint="eastAsia" w:ascii="宋体" w:hAnsi="宋体" w:cs="Arial"/>
                <w:spacing w:val="-3"/>
                <w:kern w:val="0"/>
                <w:sz w:val="18"/>
                <w:szCs w:val="18"/>
              </w:rPr>
              <w:t>资产总计</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3" w:line="271" w:lineRule="auto"/>
              <w:ind w:left="122" w:right="110"/>
              <w:jc w:val="left"/>
              <w:rPr>
                <w:rFonts w:ascii="宋体" w:hAnsi="宋体" w:cs="Arial"/>
                <w:kern w:val="0"/>
                <w:sz w:val="18"/>
                <w:szCs w:val="18"/>
              </w:rPr>
            </w:pPr>
            <w:r>
              <w:rPr>
                <w:rFonts w:hint="eastAsia" w:ascii="宋体" w:hAnsi="宋体" w:cs="Arial"/>
                <w:spacing w:val="4"/>
                <w:kern w:val="0"/>
                <w:sz w:val="18"/>
                <w:szCs w:val="18"/>
              </w:rPr>
              <w:t>负债和所有者权益（或股东权益）</w:t>
            </w:r>
            <w:r>
              <w:rPr>
                <w:rFonts w:hint="eastAsia" w:ascii="宋体" w:hAnsi="宋体" w:cs="Arial"/>
                <w:spacing w:val="-4"/>
                <w:kern w:val="0"/>
                <w:sz w:val="18"/>
                <w:szCs w:val="18"/>
              </w:rPr>
              <w:t>总计</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bl>
    <w:p>
      <w:pPr>
        <w:widowControl/>
        <w:adjustRightInd w:val="0"/>
        <w:snapToGrid w:val="0"/>
        <w:spacing w:line="280" w:lineRule="auto"/>
        <w:jc w:val="left"/>
        <w:rPr>
          <w:rFonts w:ascii="Arial" w:hAnsi="Arial" w:cs="Arial"/>
          <w:kern w:val="0"/>
          <w:szCs w:val="21"/>
        </w:rPr>
      </w:pPr>
    </w:p>
    <w:p>
      <w:pPr>
        <w:widowControl/>
        <w:adjustRightInd w:val="0"/>
        <w:snapToGrid w:val="0"/>
        <w:jc w:val="left"/>
        <w:rPr>
          <w:rFonts w:ascii="Arial" w:hAnsi="Arial" w:cs="Arial"/>
          <w:kern w:val="0"/>
          <w:szCs w:val="21"/>
        </w:rPr>
      </w:pPr>
      <w:r>
        <w:rPr>
          <w:rFonts w:hint="eastAsia" w:ascii="宋体" w:hAnsi="宋体" w:cs="Arial"/>
          <w:spacing w:val="-7"/>
          <w:kern w:val="0"/>
          <w:sz w:val="24"/>
          <w:szCs w:val="24"/>
        </w:rPr>
        <w:t>注：申请人按照有关规定提供资产负债表复印件，资产负债表各机构科目构成</w:t>
      </w:r>
      <w:r>
        <w:rPr>
          <w:rFonts w:hint="eastAsia" w:ascii="宋体" w:hAnsi="宋体" w:cs="Arial"/>
          <w:spacing w:val="-3"/>
          <w:kern w:val="0"/>
          <w:sz w:val="24"/>
          <w:szCs w:val="24"/>
        </w:rPr>
        <w:t>可能不同，以经会计师事务所审计的为准。</w:t>
      </w:r>
    </w:p>
    <w:p>
      <w:pPr>
        <w:widowControl/>
        <w:adjustRightInd w:val="0"/>
        <w:snapToGrid w:val="0"/>
        <w:spacing w:before="86"/>
        <w:jc w:val="center"/>
        <w:rPr>
          <w:rFonts w:ascii="黑体" w:hAnsi="黑体" w:eastAsia="黑体" w:cs="Arial"/>
          <w:spacing w:val="1"/>
          <w:kern w:val="0"/>
          <w:sz w:val="43"/>
          <w:szCs w:val="43"/>
        </w:rPr>
      </w:pPr>
    </w:p>
    <w:p>
      <w:pPr>
        <w:widowControl/>
        <w:adjustRightInd w:val="0"/>
        <w:snapToGrid w:val="0"/>
        <w:spacing w:before="86"/>
        <w:jc w:val="center"/>
        <w:rPr>
          <w:rFonts w:ascii="黑体" w:hAnsi="黑体" w:eastAsia="黑体" w:cs="Arial"/>
          <w:spacing w:val="1"/>
          <w:kern w:val="0"/>
          <w:sz w:val="43"/>
          <w:szCs w:val="43"/>
        </w:rPr>
      </w:pPr>
    </w:p>
    <w:p>
      <w:pPr>
        <w:widowControl/>
        <w:adjustRightInd w:val="0"/>
        <w:snapToGrid w:val="0"/>
        <w:spacing w:before="86"/>
        <w:jc w:val="center"/>
        <w:rPr>
          <w:rFonts w:ascii="黑体" w:hAnsi="黑体" w:eastAsia="黑体" w:cs="Arial"/>
          <w:spacing w:val="1"/>
          <w:kern w:val="0"/>
          <w:sz w:val="43"/>
          <w:szCs w:val="43"/>
        </w:rPr>
      </w:pPr>
      <w:r>
        <w:rPr>
          <w:rFonts w:hint="eastAsia" w:ascii="黑体" w:hAnsi="黑体" w:eastAsia="黑体" w:cs="Arial"/>
          <w:spacing w:val="1"/>
          <w:kern w:val="0"/>
          <w:sz w:val="43"/>
          <w:szCs w:val="43"/>
        </w:rPr>
        <w:t>损益表</w:t>
      </w:r>
    </w:p>
    <w:p>
      <w:pPr>
        <w:widowControl/>
        <w:adjustRightInd w:val="0"/>
        <w:snapToGrid w:val="0"/>
        <w:spacing w:before="2" w:line="271" w:lineRule="atLeast"/>
        <w:ind w:firstLine="2802"/>
        <w:jc w:val="left"/>
        <w:rPr>
          <w:rFonts w:ascii="宋体" w:hAnsi="宋体" w:cs="Arial"/>
          <w:spacing w:val="-15"/>
          <w:kern w:val="0"/>
          <w:position w:val="4"/>
          <w:sz w:val="20"/>
          <w:szCs w:val="20"/>
        </w:rPr>
      </w:pPr>
    </w:p>
    <w:p>
      <w:pPr>
        <w:widowControl/>
        <w:adjustRightInd w:val="0"/>
        <w:snapToGrid w:val="0"/>
        <w:spacing w:before="2" w:line="271" w:lineRule="atLeast"/>
        <w:jc w:val="center"/>
        <w:rPr>
          <w:rFonts w:ascii="宋体" w:hAnsi="宋体" w:cs="Arial"/>
          <w:kern w:val="0"/>
          <w:sz w:val="20"/>
          <w:szCs w:val="20"/>
        </w:rPr>
      </w:pPr>
      <w:r>
        <w:rPr>
          <w:rFonts w:hint="eastAsia" w:ascii="宋体" w:hAnsi="宋体" w:cs="Arial"/>
          <w:spacing w:val="-15"/>
          <w:kern w:val="0"/>
          <w:position w:val="4"/>
          <w:sz w:val="20"/>
          <w:szCs w:val="20"/>
        </w:rPr>
        <w:t>报告日期：  年  月  日</w:t>
      </w:r>
    </w:p>
    <w:p>
      <w:pPr>
        <w:widowControl/>
        <w:adjustRightInd w:val="0"/>
        <w:snapToGrid w:val="0"/>
        <w:ind w:firstLine="122"/>
        <w:jc w:val="left"/>
        <w:rPr>
          <w:rFonts w:ascii="宋体" w:hAnsi="宋体" w:cs="Arial"/>
          <w:kern w:val="0"/>
          <w:sz w:val="20"/>
          <w:szCs w:val="20"/>
        </w:rPr>
      </w:pPr>
      <w:r>
        <w:rPr>
          <w:rFonts w:hint="eastAsia" w:ascii="宋体" w:hAnsi="宋体" w:cs="Arial"/>
          <w:spacing w:val="-19"/>
          <w:kern w:val="0"/>
          <w:sz w:val="20"/>
          <w:szCs w:val="20"/>
        </w:rPr>
        <w:t>编报单位：</w:t>
      </w:r>
    </w:p>
    <w:p>
      <w:pPr>
        <w:widowControl/>
        <w:adjustRightInd w:val="0"/>
        <w:snapToGrid w:val="0"/>
        <w:spacing w:before="28"/>
        <w:ind w:firstLine="121"/>
        <w:jc w:val="left"/>
        <w:rPr>
          <w:rFonts w:ascii="宋体" w:hAnsi="宋体" w:cs="Arial"/>
          <w:kern w:val="0"/>
          <w:sz w:val="20"/>
          <w:szCs w:val="20"/>
        </w:rPr>
      </w:pPr>
      <w:r>
        <w:rPr>
          <w:rFonts w:hint="eastAsia" w:ascii="宋体" w:hAnsi="宋体" w:cs="Arial"/>
          <w:spacing w:val="-4"/>
          <w:kern w:val="0"/>
          <w:sz w:val="20"/>
          <w:szCs w:val="20"/>
        </w:rPr>
        <w:t>各货币汇总折人民币单位：万元</w:t>
      </w:r>
    </w:p>
    <w:tbl>
      <w:tblPr>
        <w:tblStyle w:val="5"/>
        <w:tblW w:w="8853" w:type="dxa"/>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11"/>
        <w:gridCol w:w="2353"/>
        <w:gridCol w:w="2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67"/>
              <w:ind w:firstLine="1785"/>
              <w:jc w:val="left"/>
              <w:rPr>
                <w:rFonts w:ascii="宋体" w:hAnsi="宋体" w:cs="Arial"/>
                <w:kern w:val="0"/>
                <w:szCs w:val="21"/>
              </w:rPr>
            </w:pPr>
            <w:r>
              <w:rPr>
                <w:rFonts w:hint="eastAsia" w:ascii="宋体" w:hAnsi="宋体" w:cs="Arial"/>
                <w:spacing w:val="-3"/>
                <w:kern w:val="0"/>
                <w:szCs w:val="21"/>
              </w:rPr>
              <w:t>项目</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spacing w:before="167"/>
              <w:ind w:firstLine="626"/>
              <w:jc w:val="left"/>
              <w:rPr>
                <w:rFonts w:ascii="宋体" w:hAnsi="宋体" w:cs="Arial"/>
                <w:kern w:val="0"/>
                <w:szCs w:val="21"/>
              </w:rPr>
            </w:pPr>
            <w:r>
              <w:rPr>
                <w:rFonts w:hint="eastAsia" w:ascii="宋体" w:hAnsi="宋体" w:cs="Arial"/>
                <w:spacing w:val="-2"/>
                <w:kern w:val="0"/>
                <w:szCs w:val="21"/>
              </w:rPr>
              <w:t>本期金额</w:t>
            </w: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spacing w:before="168"/>
              <w:ind w:firstLine="642"/>
              <w:jc w:val="left"/>
              <w:rPr>
                <w:rFonts w:ascii="宋体" w:hAnsi="宋体" w:cs="Arial"/>
                <w:kern w:val="0"/>
                <w:szCs w:val="21"/>
              </w:rPr>
            </w:pPr>
            <w:r>
              <w:rPr>
                <w:rFonts w:hint="eastAsia" w:ascii="宋体" w:hAnsi="宋体" w:cs="Arial"/>
                <w:spacing w:val="-2"/>
                <w:kern w:val="0"/>
                <w:szCs w:val="21"/>
              </w:rPr>
              <w:t>上期金额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97"/>
              <w:ind w:firstLine="116"/>
              <w:jc w:val="left"/>
              <w:rPr>
                <w:rFonts w:ascii="宋体" w:hAnsi="宋体" w:cs="Arial"/>
                <w:kern w:val="0"/>
                <w:sz w:val="18"/>
                <w:szCs w:val="18"/>
              </w:rPr>
            </w:pPr>
            <w:r>
              <w:rPr>
                <w:rFonts w:hint="eastAsia" w:ascii="宋体" w:hAnsi="宋体" w:cs="Arial"/>
                <w:spacing w:val="-2"/>
                <w:kern w:val="0"/>
                <w:sz w:val="18"/>
                <w:szCs w:val="18"/>
              </w:rPr>
              <w:t>一、营业收入</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0"/>
              <w:ind w:firstLine="115"/>
              <w:jc w:val="left"/>
              <w:rPr>
                <w:rFonts w:ascii="宋体" w:hAnsi="宋体" w:cs="Arial"/>
                <w:kern w:val="0"/>
                <w:sz w:val="18"/>
                <w:szCs w:val="18"/>
              </w:rPr>
            </w:pPr>
            <w:r>
              <w:rPr>
                <w:rFonts w:hint="eastAsia" w:ascii="宋体" w:hAnsi="宋体" w:cs="Arial"/>
                <w:spacing w:val="-2"/>
                <w:kern w:val="0"/>
                <w:sz w:val="18"/>
                <w:szCs w:val="18"/>
              </w:rPr>
              <w:t>利息净收入</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98"/>
              <w:ind w:firstLine="475"/>
              <w:jc w:val="left"/>
              <w:rPr>
                <w:rFonts w:ascii="宋体" w:hAnsi="宋体" w:cs="Arial"/>
                <w:kern w:val="0"/>
                <w:sz w:val="18"/>
                <w:szCs w:val="18"/>
              </w:rPr>
            </w:pPr>
            <w:r>
              <w:rPr>
                <w:rFonts w:hint="eastAsia" w:ascii="宋体" w:hAnsi="宋体" w:cs="Arial"/>
                <w:spacing w:val="-2"/>
                <w:kern w:val="0"/>
                <w:sz w:val="18"/>
                <w:szCs w:val="18"/>
              </w:rPr>
              <w:t>利息收入</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1"/>
              <w:ind w:firstLine="475"/>
              <w:jc w:val="left"/>
              <w:rPr>
                <w:rFonts w:ascii="宋体" w:hAnsi="宋体" w:cs="Arial"/>
                <w:kern w:val="0"/>
                <w:sz w:val="18"/>
                <w:szCs w:val="18"/>
              </w:rPr>
            </w:pPr>
            <w:r>
              <w:rPr>
                <w:rFonts w:hint="eastAsia" w:ascii="宋体" w:hAnsi="宋体" w:cs="Arial"/>
                <w:spacing w:val="-2"/>
                <w:kern w:val="0"/>
                <w:sz w:val="18"/>
                <w:szCs w:val="18"/>
              </w:rPr>
              <w:t>利息支出</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99"/>
              <w:ind w:firstLine="114"/>
              <w:jc w:val="left"/>
              <w:rPr>
                <w:rFonts w:ascii="宋体" w:hAnsi="宋体" w:cs="Arial"/>
                <w:kern w:val="0"/>
                <w:sz w:val="18"/>
                <w:szCs w:val="18"/>
              </w:rPr>
            </w:pPr>
            <w:r>
              <w:rPr>
                <w:rFonts w:hint="eastAsia" w:ascii="宋体" w:hAnsi="宋体" w:cs="Arial"/>
                <w:spacing w:val="-1"/>
                <w:kern w:val="0"/>
                <w:sz w:val="18"/>
                <w:szCs w:val="18"/>
              </w:rPr>
              <w:t>手续费及佣金净收入</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2"/>
              <w:ind w:firstLine="474"/>
              <w:jc w:val="left"/>
              <w:rPr>
                <w:rFonts w:ascii="宋体" w:hAnsi="宋体" w:cs="Arial"/>
                <w:kern w:val="0"/>
                <w:sz w:val="18"/>
                <w:szCs w:val="18"/>
              </w:rPr>
            </w:pPr>
            <w:r>
              <w:rPr>
                <w:rFonts w:hint="eastAsia" w:ascii="宋体" w:hAnsi="宋体" w:cs="Arial"/>
                <w:spacing w:val="-1"/>
                <w:kern w:val="0"/>
                <w:sz w:val="18"/>
                <w:szCs w:val="18"/>
              </w:rPr>
              <w:t>手续费及佣金收入</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0"/>
              <w:ind w:firstLine="474"/>
              <w:jc w:val="left"/>
              <w:rPr>
                <w:rFonts w:ascii="宋体" w:hAnsi="宋体" w:cs="Arial"/>
                <w:kern w:val="0"/>
                <w:sz w:val="18"/>
                <w:szCs w:val="18"/>
              </w:rPr>
            </w:pPr>
            <w:r>
              <w:rPr>
                <w:rFonts w:hint="eastAsia" w:ascii="宋体" w:hAnsi="宋体" w:cs="Arial"/>
                <w:spacing w:val="-1"/>
                <w:kern w:val="0"/>
                <w:sz w:val="18"/>
                <w:szCs w:val="18"/>
              </w:rPr>
              <w:t>手续费及佣金支出</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3"/>
              <w:ind w:firstLine="114"/>
              <w:jc w:val="left"/>
              <w:rPr>
                <w:rFonts w:ascii="宋体" w:hAnsi="宋体" w:cs="Arial"/>
                <w:kern w:val="0"/>
                <w:sz w:val="18"/>
                <w:szCs w:val="18"/>
              </w:rPr>
            </w:pPr>
            <w:r>
              <w:rPr>
                <w:rFonts w:hint="eastAsia" w:ascii="宋体" w:hAnsi="宋体" w:cs="Arial"/>
                <w:spacing w:val="-3"/>
                <w:kern w:val="0"/>
                <w:sz w:val="18"/>
                <w:szCs w:val="18"/>
              </w:rPr>
              <w:t>投资收益（损失以“-”号填列）</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1"/>
              <w:ind w:firstLine="474"/>
              <w:jc w:val="left"/>
              <w:rPr>
                <w:rFonts w:ascii="宋体" w:hAnsi="宋体" w:cs="Arial"/>
                <w:kern w:val="0"/>
                <w:sz w:val="18"/>
                <w:szCs w:val="18"/>
              </w:rPr>
            </w:pPr>
            <w:r>
              <w:rPr>
                <w:rFonts w:hint="eastAsia" w:ascii="宋体" w:hAnsi="宋体" w:cs="Arial"/>
                <w:spacing w:val="-1"/>
                <w:kern w:val="0"/>
                <w:sz w:val="18"/>
                <w:szCs w:val="18"/>
              </w:rPr>
              <w:t>其中：对联营企业和合营企业的投资收益</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5"/>
              <w:ind w:firstLine="120"/>
              <w:jc w:val="left"/>
              <w:rPr>
                <w:rFonts w:ascii="宋体" w:hAnsi="宋体" w:cs="Arial"/>
                <w:kern w:val="0"/>
                <w:sz w:val="18"/>
                <w:szCs w:val="18"/>
              </w:rPr>
            </w:pPr>
            <w:r>
              <w:rPr>
                <w:rFonts w:hint="eastAsia" w:ascii="宋体" w:hAnsi="宋体" w:cs="Arial"/>
                <w:spacing w:val="-3"/>
                <w:kern w:val="0"/>
                <w:sz w:val="18"/>
                <w:szCs w:val="18"/>
              </w:rPr>
              <w:t>公允价值变动收益（损失以“-”号填列）</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9"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2"/>
              <w:ind w:firstLine="114"/>
              <w:jc w:val="left"/>
              <w:rPr>
                <w:rFonts w:ascii="宋体" w:hAnsi="宋体" w:cs="Arial"/>
                <w:kern w:val="0"/>
                <w:sz w:val="18"/>
                <w:szCs w:val="18"/>
              </w:rPr>
            </w:pPr>
            <w:r>
              <w:rPr>
                <w:rFonts w:hint="eastAsia" w:ascii="宋体" w:hAnsi="宋体" w:cs="Arial"/>
                <w:spacing w:val="-3"/>
                <w:kern w:val="0"/>
                <w:sz w:val="18"/>
                <w:szCs w:val="18"/>
              </w:rPr>
              <w:t>汇兑收益（损失以“-”号填列）</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4"/>
              <w:ind w:firstLine="114"/>
              <w:jc w:val="left"/>
              <w:rPr>
                <w:rFonts w:ascii="宋体" w:hAnsi="宋体" w:cs="Arial"/>
                <w:kern w:val="0"/>
                <w:sz w:val="18"/>
                <w:szCs w:val="18"/>
              </w:rPr>
            </w:pPr>
            <w:r>
              <w:rPr>
                <w:rFonts w:hint="eastAsia" w:ascii="宋体" w:hAnsi="宋体" w:cs="Arial"/>
                <w:spacing w:val="-1"/>
                <w:kern w:val="0"/>
                <w:sz w:val="18"/>
                <w:szCs w:val="18"/>
              </w:rPr>
              <w:t>其他业务收入</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2"/>
              <w:ind w:firstLine="117"/>
              <w:jc w:val="left"/>
              <w:rPr>
                <w:rFonts w:ascii="宋体" w:hAnsi="宋体" w:cs="Arial"/>
                <w:kern w:val="0"/>
                <w:sz w:val="18"/>
                <w:szCs w:val="18"/>
              </w:rPr>
            </w:pPr>
            <w:r>
              <w:rPr>
                <w:rFonts w:hint="eastAsia" w:ascii="宋体" w:hAnsi="宋体" w:cs="Arial"/>
                <w:spacing w:val="-2"/>
                <w:kern w:val="0"/>
                <w:sz w:val="18"/>
                <w:szCs w:val="18"/>
              </w:rPr>
              <w:t>二、营业支出</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5"/>
              <w:ind w:firstLine="115"/>
              <w:jc w:val="left"/>
              <w:rPr>
                <w:rFonts w:ascii="宋体" w:hAnsi="宋体" w:cs="Arial"/>
                <w:kern w:val="0"/>
                <w:sz w:val="18"/>
                <w:szCs w:val="18"/>
              </w:rPr>
            </w:pPr>
            <w:r>
              <w:rPr>
                <w:rFonts w:hint="eastAsia" w:ascii="宋体" w:hAnsi="宋体" w:cs="Arial"/>
                <w:spacing w:val="-1"/>
                <w:kern w:val="0"/>
                <w:sz w:val="18"/>
                <w:szCs w:val="18"/>
              </w:rPr>
              <w:t>营业税金及附加</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2"/>
              <w:ind w:firstLine="114"/>
              <w:jc w:val="left"/>
              <w:rPr>
                <w:rFonts w:ascii="宋体" w:hAnsi="宋体" w:cs="Arial"/>
                <w:kern w:val="0"/>
                <w:sz w:val="18"/>
                <w:szCs w:val="18"/>
              </w:rPr>
            </w:pPr>
            <w:r>
              <w:rPr>
                <w:rFonts w:hint="eastAsia" w:ascii="宋体" w:hAnsi="宋体" w:cs="Arial"/>
                <w:spacing w:val="-1"/>
                <w:kern w:val="0"/>
                <w:sz w:val="18"/>
                <w:szCs w:val="18"/>
              </w:rPr>
              <w:t>业务及管理费</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4"/>
              <w:ind w:firstLine="121"/>
              <w:jc w:val="left"/>
              <w:rPr>
                <w:rFonts w:ascii="宋体" w:hAnsi="宋体" w:cs="Arial"/>
                <w:kern w:val="0"/>
                <w:sz w:val="18"/>
                <w:szCs w:val="18"/>
              </w:rPr>
            </w:pPr>
            <w:r>
              <w:rPr>
                <w:rFonts w:hint="eastAsia" w:ascii="宋体" w:hAnsi="宋体" w:cs="Arial"/>
                <w:spacing w:val="-2"/>
                <w:kern w:val="0"/>
                <w:sz w:val="18"/>
                <w:szCs w:val="18"/>
              </w:rPr>
              <w:t>资产减值损失</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2"/>
              <w:ind w:firstLine="114"/>
              <w:jc w:val="left"/>
              <w:rPr>
                <w:rFonts w:ascii="宋体" w:hAnsi="宋体" w:cs="Arial"/>
                <w:kern w:val="0"/>
                <w:sz w:val="18"/>
                <w:szCs w:val="18"/>
              </w:rPr>
            </w:pPr>
            <w:r>
              <w:rPr>
                <w:rFonts w:hint="eastAsia" w:ascii="宋体" w:hAnsi="宋体" w:cs="Arial"/>
                <w:spacing w:val="-1"/>
                <w:kern w:val="0"/>
                <w:sz w:val="18"/>
                <w:szCs w:val="18"/>
              </w:rPr>
              <w:t>其他业务成本</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4"/>
              <w:ind w:firstLine="114"/>
              <w:jc w:val="left"/>
              <w:rPr>
                <w:rFonts w:ascii="宋体" w:hAnsi="宋体" w:cs="Arial"/>
                <w:kern w:val="0"/>
                <w:sz w:val="18"/>
                <w:szCs w:val="18"/>
              </w:rPr>
            </w:pPr>
            <w:r>
              <w:rPr>
                <w:rFonts w:hint="eastAsia" w:ascii="宋体" w:hAnsi="宋体" w:cs="Arial"/>
                <w:spacing w:val="-1"/>
                <w:kern w:val="0"/>
                <w:sz w:val="18"/>
                <w:szCs w:val="18"/>
              </w:rPr>
              <w:t>三、营业利润</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2"/>
              <w:ind w:firstLine="115"/>
              <w:jc w:val="left"/>
              <w:rPr>
                <w:rFonts w:ascii="宋体" w:hAnsi="宋体" w:cs="Arial"/>
                <w:kern w:val="0"/>
                <w:sz w:val="18"/>
                <w:szCs w:val="18"/>
              </w:rPr>
            </w:pPr>
            <w:r>
              <w:rPr>
                <w:rFonts w:hint="eastAsia" w:ascii="宋体" w:hAnsi="宋体" w:cs="Arial"/>
                <w:spacing w:val="-1"/>
                <w:kern w:val="0"/>
                <w:sz w:val="18"/>
                <w:szCs w:val="18"/>
              </w:rPr>
              <w:t>加：营业外收入</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4"/>
              <w:ind w:firstLine="114"/>
              <w:jc w:val="left"/>
              <w:rPr>
                <w:rFonts w:ascii="宋体" w:hAnsi="宋体" w:cs="Arial"/>
                <w:kern w:val="0"/>
                <w:sz w:val="18"/>
                <w:szCs w:val="18"/>
              </w:rPr>
            </w:pPr>
            <w:r>
              <w:rPr>
                <w:rFonts w:hint="eastAsia" w:ascii="宋体" w:hAnsi="宋体" w:cs="Arial"/>
                <w:spacing w:val="-1"/>
                <w:kern w:val="0"/>
                <w:sz w:val="18"/>
                <w:szCs w:val="18"/>
              </w:rPr>
              <w:t>减：营业外支出</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2"/>
              <w:ind w:firstLine="131"/>
              <w:jc w:val="left"/>
              <w:rPr>
                <w:rFonts w:ascii="宋体" w:hAnsi="宋体" w:cs="Arial"/>
                <w:kern w:val="0"/>
                <w:sz w:val="18"/>
                <w:szCs w:val="18"/>
              </w:rPr>
            </w:pPr>
            <w:r>
              <w:rPr>
                <w:rFonts w:hint="eastAsia" w:ascii="宋体" w:hAnsi="宋体" w:cs="Arial"/>
                <w:spacing w:val="-4"/>
                <w:kern w:val="0"/>
                <w:sz w:val="18"/>
                <w:szCs w:val="18"/>
              </w:rPr>
              <w:t>四、利润总额</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2"/>
              <w:ind w:firstLine="114"/>
              <w:jc w:val="left"/>
              <w:rPr>
                <w:rFonts w:ascii="宋体" w:hAnsi="宋体" w:cs="Arial"/>
                <w:kern w:val="0"/>
                <w:sz w:val="18"/>
                <w:szCs w:val="18"/>
              </w:rPr>
            </w:pPr>
            <w:r>
              <w:rPr>
                <w:rFonts w:hint="eastAsia" w:ascii="宋体" w:hAnsi="宋体" w:cs="Arial"/>
                <w:spacing w:val="-1"/>
                <w:kern w:val="0"/>
                <w:sz w:val="18"/>
                <w:szCs w:val="18"/>
              </w:rPr>
              <w:t>减：所得税费用</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1"/>
              <w:ind w:firstLine="117"/>
              <w:jc w:val="left"/>
              <w:rPr>
                <w:rFonts w:ascii="宋体" w:hAnsi="宋体" w:cs="Arial"/>
                <w:kern w:val="0"/>
                <w:sz w:val="18"/>
                <w:szCs w:val="18"/>
              </w:rPr>
            </w:pPr>
            <w:r>
              <w:rPr>
                <w:rFonts w:hint="eastAsia" w:ascii="宋体" w:hAnsi="宋体" w:cs="Arial"/>
                <w:spacing w:val="-2"/>
                <w:kern w:val="0"/>
                <w:sz w:val="18"/>
                <w:szCs w:val="18"/>
              </w:rPr>
              <w:t>五、净利润</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0"/>
              <w:ind w:firstLine="114"/>
              <w:jc w:val="left"/>
              <w:rPr>
                <w:rFonts w:ascii="宋体" w:hAnsi="宋体" w:cs="Arial"/>
                <w:kern w:val="0"/>
                <w:sz w:val="18"/>
                <w:szCs w:val="18"/>
              </w:rPr>
            </w:pPr>
            <w:r>
              <w:rPr>
                <w:rFonts w:hint="eastAsia" w:ascii="宋体" w:hAnsi="宋体" w:cs="Arial"/>
                <w:spacing w:val="-6"/>
                <w:kern w:val="0"/>
                <w:sz w:val="18"/>
                <w:szCs w:val="18"/>
              </w:rPr>
              <w:t>六、每股收益：</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3"/>
              <w:ind w:firstLine="426"/>
              <w:jc w:val="left"/>
              <w:rPr>
                <w:rFonts w:ascii="宋体" w:hAnsi="宋体" w:cs="Arial"/>
                <w:kern w:val="0"/>
                <w:sz w:val="18"/>
                <w:szCs w:val="18"/>
              </w:rPr>
            </w:pPr>
            <w:r>
              <w:rPr>
                <w:rFonts w:hint="eastAsia" w:ascii="宋体" w:hAnsi="宋体" w:cs="Arial"/>
                <w:spacing w:val="-3"/>
                <w:kern w:val="0"/>
                <w:sz w:val="18"/>
                <w:szCs w:val="18"/>
              </w:rPr>
              <w:t>（一）基本每股收益</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2"/>
              <w:ind w:firstLine="388"/>
              <w:jc w:val="left"/>
              <w:rPr>
                <w:rFonts w:ascii="宋体" w:hAnsi="宋体" w:cs="Arial"/>
                <w:kern w:val="0"/>
                <w:sz w:val="18"/>
                <w:szCs w:val="18"/>
              </w:rPr>
            </w:pPr>
            <w:r>
              <w:rPr>
                <w:rFonts w:hint="eastAsia" w:ascii="宋体" w:hAnsi="宋体" w:cs="Arial"/>
                <w:spacing w:val="-3"/>
                <w:kern w:val="0"/>
                <w:sz w:val="18"/>
                <w:szCs w:val="18"/>
              </w:rPr>
              <w:t>（二）稀释每股收益</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bl>
    <w:p>
      <w:pPr>
        <w:widowControl/>
        <w:adjustRightInd w:val="0"/>
        <w:snapToGrid w:val="0"/>
        <w:jc w:val="left"/>
        <w:rPr>
          <w:rFonts w:ascii="Arial" w:hAnsi="Arial" w:cs="Arial"/>
          <w:kern w:val="0"/>
          <w:szCs w:val="21"/>
        </w:rPr>
      </w:pPr>
    </w:p>
    <w:p>
      <w:pPr>
        <w:widowControl/>
        <w:adjustRightInd w:val="0"/>
        <w:snapToGrid w:val="0"/>
        <w:jc w:val="left"/>
        <w:rPr>
          <w:rFonts w:ascii="Arial" w:hAnsi="Arial" w:cs="Arial"/>
          <w:kern w:val="0"/>
          <w:sz w:val="2"/>
          <w:szCs w:val="2"/>
        </w:rPr>
      </w:pPr>
    </w:p>
    <w:p>
      <w:pPr>
        <w:widowControl/>
        <w:adjustRightInd w:val="0"/>
        <w:snapToGrid w:val="0"/>
        <w:jc w:val="left"/>
        <w:rPr>
          <w:rFonts w:ascii="Arial" w:hAnsi="Arial" w:cs="Arial"/>
          <w:kern w:val="0"/>
          <w:szCs w:val="21"/>
        </w:rPr>
      </w:pPr>
      <w:r>
        <w:rPr>
          <w:rFonts w:hint="eastAsia" w:ascii="宋体" w:hAnsi="宋体" w:cs="Arial"/>
          <w:spacing w:val="-2"/>
          <w:kern w:val="0"/>
          <w:sz w:val="24"/>
          <w:szCs w:val="24"/>
        </w:rPr>
        <w:t>注：申请人按照有关规定提供损益表复印件，损益表(也为利润表或损益比较表)各机构项目构成可能不同，以经会计师事务所审计的为准。</w:t>
      </w:r>
    </w:p>
    <w:p>
      <w:pPr>
        <w:widowControl/>
        <w:adjustRightInd w:val="0"/>
        <w:snapToGrid w:val="0"/>
        <w:spacing w:line="560" w:lineRule="exact"/>
        <w:ind w:firstLine="600" w:firstLineChars="200"/>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7、相关指标</w:t>
      </w:r>
    </w:p>
    <w:p>
      <w:pPr>
        <w:widowControl/>
        <w:adjustRightInd w:val="0"/>
        <w:snapToGrid w:val="0"/>
        <w:spacing w:line="520" w:lineRule="atLeast"/>
        <w:jc w:val="center"/>
        <w:rPr>
          <w:rFonts w:ascii="方正小标宋_GBK" w:hAnsi="方正小标宋_GBK" w:eastAsia="方正小标宋_GBK" w:cs="Arial"/>
          <w:kern w:val="0"/>
          <w:sz w:val="36"/>
          <w:szCs w:val="36"/>
        </w:rPr>
      </w:pPr>
      <w:r>
        <w:rPr>
          <w:rFonts w:hint="eastAsia" w:ascii="方正小标宋_GBK" w:hAnsi="方正小标宋_GBK" w:eastAsia="方正小标宋_GBK" w:cs="Arial"/>
          <w:spacing w:val="1"/>
          <w:kern w:val="0"/>
          <w:sz w:val="36"/>
          <w:szCs w:val="36"/>
        </w:rPr>
        <w:t>国库集中收付代理银行资格认定</w:t>
      </w:r>
    </w:p>
    <w:p>
      <w:pPr>
        <w:widowControl/>
        <w:adjustRightInd w:val="0"/>
        <w:snapToGrid w:val="0"/>
        <w:spacing w:line="520" w:lineRule="atLeast"/>
        <w:jc w:val="center"/>
        <w:rPr>
          <w:rFonts w:ascii="方正小标宋_GBK" w:hAnsi="方正小标宋_GBK" w:eastAsia="方正小标宋_GBK" w:cs="Arial"/>
          <w:kern w:val="0"/>
          <w:sz w:val="31"/>
          <w:szCs w:val="31"/>
        </w:rPr>
      </w:pPr>
      <w:r>
        <w:rPr>
          <w:rFonts w:hint="eastAsia" w:ascii="方正小标宋_GBK" w:hAnsi="方正小标宋_GBK" w:eastAsia="方正小标宋_GBK" w:cs="Arial"/>
          <w:spacing w:val="-1"/>
          <w:kern w:val="0"/>
          <w:sz w:val="36"/>
          <w:szCs w:val="36"/>
        </w:rPr>
        <w:t>申请人相关指标统计表</w:t>
      </w:r>
    </w:p>
    <w:p>
      <w:pPr>
        <w:widowControl/>
        <w:adjustRightInd w:val="0"/>
        <w:snapToGrid w:val="0"/>
        <w:spacing w:before="208"/>
        <w:jc w:val="center"/>
        <w:rPr>
          <w:rFonts w:ascii="仿宋_GB2312" w:hAnsi="Arial" w:eastAsia="仿宋_GB2312" w:cs="Arial"/>
          <w:kern w:val="0"/>
          <w:sz w:val="28"/>
          <w:szCs w:val="28"/>
        </w:rPr>
      </w:pPr>
      <w:r>
        <w:rPr>
          <w:rFonts w:hint="eastAsia" w:ascii="仿宋_GB2312" w:hAnsi="Arial" w:eastAsia="仿宋_GB2312" w:cs="Arial"/>
          <w:spacing w:val="-14"/>
          <w:kern w:val="0"/>
          <w:sz w:val="28"/>
          <w:szCs w:val="28"/>
        </w:rPr>
        <w:t>年   月   日</w:t>
      </w:r>
    </w:p>
    <w:p>
      <w:pPr>
        <w:widowControl/>
        <w:adjustRightInd w:val="0"/>
        <w:snapToGrid w:val="0"/>
        <w:spacing w:before="220"/>
        <w:ind w:firstLine="39"/>
        <w:jc w:val="left"/>
        <w:rPr>
          <w:rFonts w:ascii="仿宋_GB2312" w:hAnsi="Arial" w:eastAsia="仿宋_GB2312" w:cs="Arial"/>
          <w:kern w:val="0"/>
          <w:sz w:val="28"/>
          <w:szCs w:val="28"/>
        </w:rPr>
      </w:pPr>
      <w:r>
        <w:rPr>
          <w:rFonts w:hint="eastAsia" w:ascii="仿宋_GB2312" w:hAnsi="Arial" w:eastAsia="仿宋_GB2312" w:cs="Arial"/>
          <w:spacing w:val="-5"/>
          <w:kern w:val="0"/>
          <w:sz w:val="28"/>
          <w:szCs w:val="28"/>
        </w:rPr>
        <w:t>申请人名称（加盖公章）：</w:t>
      </w:r>
    </w:p>
    <w:tbl>
      <w:tblPr>
        <w:tblStyle w:val="5"/>
        <w:tblW w:w="83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66"/>
        <w:gridCol w:w="1417"/>
        <w:gridCol w:w="1134"/>
        <w:gridCol w:w="1134"/>
        <w:gridCol w:w="3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283" w:type="dxa"/>
            <w:gridSpan w:val="2"/>
            <w:tcBorders>
              <w:top w:val="single" w:color="000000" w:sz="12" w:space="0"/>
              <w:left w:val="single" w:color="000000" w:sz="12" w:space="0"/>
              <w:bottom w:val="single" w:color="000000" w:sz="12" w:space="0"/>
              <w:right w:val="single" w:color="000000" w:sz="12" w:space="0"/>
            </w:tcBorders>
            <w:vAlign w:val="center"/>
          </w:tcPr>
          <w:p>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相关指标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年度</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年度</w:t>
            </w: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9" w:hRule="atLeast"/>
        </w:trPr>
        <w:tc>
          <w:tcPr>
            <w:tcW w:w="866"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安全性</w:t>
            </w: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资本充足率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资本净额÷应用资本底线及校准后的风险加权资产合计×</w:t>
            </w:r>
            <w:r>
              <w:rPr>
                <w:rFonts w:ascii="仿宋_GB2312" w:hAnsi="宋体" w:eastAsia="仿宋_GB2312" w:cs="宋体"/>
                <w:color w:val="000000"/>
                <w:kern w:val="0"/>
                <w:sz w:val="18"/>
              </w:rPr>
              <w:t>100%，G40《资产充足率汇总表》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5"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不良贷款率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（次级类贷款</w:t>
            </w:r>
            <w:r>
              <w:rPr>
                <w:rFonts w:ascii="仿宋_GB2312" w:hAnsi="宋体" w:eastAsia="仿宋_GB2312" w:cs="宋体"/>
                <w:color w:val="000000"/>
                <w:kern w:val="0"/>
                <w:sz w:val="18"/>
              </w:rPr>
              <w:t>+可疑类贷款+损失类贷款）÷各项贷款×100%,G11_Ⅰ《资产质量五级分类情况表—按行业分类的贷款》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3"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不良资产率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应分类的表内外承担信用风险的不良资产÷应分类的表内外承担信用风险的资产×</w:t>
            </w:r>
            <w:r>
              <w:rPr>
                <w:rFonts w:ascii="仿宋_GB2312" w:hAnsi="宋体" w:eastAsia="仿宋_GB2312" w:cs="宋体"/>
                <w:color w:val="000000"/>
                <w:kern w:val="0"/>
                <w:sz w:val="18"/>
              </w:rPr>
              <w:t>100%,G11_Ⅱ《资产质量五级分类情况表—资产质量及准备金》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4"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拨备覆盖率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贷款减值准备金÷（次级类贷款</w:t>
            </w:r>
            <w:r>
              <w:rPr>
                <w:rFonts w:ascii="仿宋_GB2312" w:hAnsi="宋体" w:eastAsia="仿宋_GB2312" w:cs="宋体"/>
                <w:color w:val="000000"/>
                <w:kern w:val="0"/>
                <w:sz w:val="18"/>
              </w:rPr>
              <w:t>+可疑类贷款+损失类贷款）×100%，G03《各项资产减值损失准备情况表》、G11_Ⅱ《资产质量五级分类情况表—按行业分类贷款》、G11_Ⅱ《资产质量五级分类情况表—资产质量及准备金》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866"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流动性</w:t>
            </w: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流动性比率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流动性资产÷流动性负债×</w:t>
            </w:r>
            <w:r>
              <w:rPr>
                <w:rFonts w:ascii="仿宋_GB2312" w:hAnsi="宋体" w:eastAsia="仿宋_GB2312" w:cs="宋体"/>
                <w:color w:val="000000"/>
                <w:kern w:val="0"/>
                <w:sz w:val="18"/>
              </w:rPr>
              <w:t>100%，G22《流动性比例监测表》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流动性覆盖率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流动性资产÷（资金流出</w:t>
            </w:r>
            <w:r>
              <w:rPr>
                <w:rFonts w:ascii="仿宋_GB2312" w:hAnsi="宋体" w:eastAsia="仿宋_GB2312" w:cs="宋体"/>
                <w:color w:val="000000"/>
                <w:kern w:val="0"/>
                <w:sz w:val="18"/>
              </w:rPr>
              <w:t>-限额内的资金流入）×100%，G25_Ⅰ《流动性覆盖率情况表》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7"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优质流动性资产充足率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优质流动性资产÷（可能现金流出</w:t>
            </w:r>
            <w:r>
              <w:rPr>
                <w:rFonts w:ascii="仿宋_GB2312" w:hAnsi="宋体" w:eastAsia="仿宋_GB2312" w:cs="宋体"/>
                <w:color w:val="000000"/>
                <w:kern w:val="0"/>
                <w:sz w:val="18"/>
              </w:rPr>
              <w:t>-可能现金流入）×100%，G26《优质流动性资产充足率》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流动性匹配率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加权资金来源÷加权资金运用×</w:t>
            </w:r>
            <w:r>
              <w:rPr>
                <w:rFonts w:ascii="仿宋_GB2312" w:hAnsi="宋体" w:eastAsia="仿宋_GB2312" w:cs="宋体"/>
                <w:color w:val="000000"/>
                <w:kern w:val="0"/>
                <w:sz w:val="18"/>
              </w:rPr>
              <w:t>100%，G21《流动性期限缺口统计表》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5"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净稳定资金比率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可用的稳定资金÷业务所需的稳定资金×</w:t>
            </w:r>
            <w:r>
              <w:rPr>
                <w:rFonts w:ascii="仿宋_GB2312" w:hAnsi="宋体" w:eastAsia="仿宋_GB2312" w:cs="宋体"/>
                <w:color w:val="000000"/>
                <w:kern w:val="0"/>
                <w:sz w:val="18"/>
              </w:rPr>
              <w:t>100%，G25_Ⅱ《经稳定资金比例情况表》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4" w:hRule="atLeast"/>
        </w:trPr>
        <w:tc>
          <w:tcPr>
            <w:tcW w:w="866"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效益性</w:t>
            </w: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资产利润率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税后利润÷资产平均余额×</w:t>
            </w:r>
            <w:r>
              <w:rPr>
                <w:rFonts w:ascii="仿宋_GB2312" w:hAnsi="宋体" w:eastAsia="仿宋_GB2312" w:cs="宋体"/>
                <w:color w:val="000000"/>
                <w:kern w:val="0"/>
                <w:sz w:val="18"/>
              </w:rPr>
              <w:t>100%×折年系数，G01《资产负债项目统计表》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6"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资本利润率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税收利润÷（所有者权益</w:t>
            </w:r>
            <w:r>
              <w:rPr>
                <w:rFonts w:ascii="仿宋_GB2312" w:hAnsi="宋体" w:eastAsia="仿宋_GB2312" w:cs="宋体"/>
                <w:color w:val="000000"/>
                <w:kern w:val="0"/>
                <w:sz w:val="18"/>
              </w:rPr>
              <w:t>+少数股东权益）平均余额×100%×折年系数，G01《资产负债项目统计表》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成本收入比例</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（营业支出—营业税金及附加）÷营业净收入×</w:t>
            </w:r>
            <w:r>
              <w:rPr>
                <w:rFonts w:ascii="仿宋_GB2312" w:hAnsi="宋体" w:eastAsia="仿宋_GB2312" w:cs="宋体"/>
                <w:color w:val="000000"/>
                <w:kern w:val="0"/>
                <w:sz w:val="18"/>
              </w:rPr>
              <w:t>100%，G04《利润表》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866"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网点、人员</w:t>
            </w:r>
            <w:r>
              <w:rPr>
                <w:rFonts w:ascii="仿宋_GB2312" w:hAnsi="宋体" w:eastAsia="仿宋_GB2312" w:cs="宋体"/>
                <w:color w:val="000000"/>
                <w:kern w:val="0"/>
              </w:rPr>
              <w:t>数量</w:t>
            </w: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全区机构网点数量</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统计办理对公业务的机构网点数量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7"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其中：地市级（含主要城区）机构网点数</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县域机构网点数</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含非主城区的县级区、市，如：二连市、石拐区等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1"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全区覆盖机构的盟市个数</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3"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全区覆盖机构的旗县个数</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9"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全区盟市机构覆盖率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设立机构的盟市数量</w:t>
            </w:r>
            <w:r>
              <w:rPr>
                <w:rFonts w:ascii="仿宋_GB2312" w:hAnsi="宋体" w:eastAsia="仿宋_GB2312" w:cs="宋体"/>
                <w:color w:val="000000"/>
                <w:kern w:val="0"/>
                <w:sz w:val="18"/>
              </w:rPr>
              <w:t>/全区盟市总数*100%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全区县域机构覆盖率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设立机构的旗县数量</w:t>
            </w:r>
            <w:r>
              <w:rPr>
                <w:rFonts w:ascii="仿宋_GB2312" w:hAnsi="宋体" w:eastAsia="仿宋_GB2312" w:cs="宋体"/>
                <w:color w:val="000000"/>
                <w:kern w:val="0"/>
                <w:sz w:val="18"/>
              </w:rPr>
              <w:t>/全区旗县总数*100%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7"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申请业务属地网点数量</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如，申请武川县集中支付业务，武川县辖内机构网点数量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78"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申请业务属地机构网点从业人员数量</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如，申请武川县集中支付业务，武川县辖内机构网点业务正式人员数量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3" w:hRule="atLeast"/>
        </w:trPr>
        <w:tc>
          <w:tcPr>
            <w:tcW w:w="228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安全综合评价—央行金融机构评级结果</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提供法人</w:t>
            </w:r>
            <w:r>
              <w:rPr>
                <w:rFonts w:hint="eastAsia" w:ascii="仿宋_GB2312" w:hAnsi="宋体" w:eastAsia="仿宋_GB2312" w:cs="宋体"/>
                <w:color w:val="000000"/>
                <w:kern w:val="0"/>
                <w:szCs w:val="21"/>
                <w:lang w:val="en-US" w:eastAsia="zh-CN"/>
              </w:rPr>
              <w:t>或上级机构</w:t>
            </w:r>
            <w:r>
              <w:rPr>
                <w:rFonts w:hint="eastAsia" w:ascii="仿宋_GB2312" w:hAnsi="宋体" w:eastAsia="仿宋_GB2312" w:cs="宋体"/>
                <w:color w:val="000000"/>
                <w:kern w:val="0"/>
                <w:szCs w:val="21"/>
              </w:rPr>
              <w:t>评级结果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3" w:hRule="atLeast"/>
        </w:trPr>
        <w:tc>
          <w:tcPr>
            <w:tcW w:w="228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50万元以内（含）支付结算案件处罚次数</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申请机构辖内数据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9" w:hRule="atLeast"/>
        </w:trPr>
        <w:tc>
          <w:tcPr>
            <w:tcW w:w="228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50万元以上（不含）支付结算案件处罚次数</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申请机构辖内数据</w:t>
            </w:r>
          </w:p>
        </w:tc>
      </w:tr>
    </w:tbl>
    <w:p>
      <w:pPr>
        <w:widowControl/>
        <w:adjustRightInd w:val="0"/>
        <w:snapToGrid w:val="0"/>
        <w:spacing w:line="560" w:lineRule="exact"/>
        <w:rPr>
          <w:rFonts w:ascii="仿宋_GB2312" w:hAnsi="方正小标宋_GBK" w:eastAsia="仿宋_GB2312" w:cs="Times New Roman"/>
          <w:kern w:val="0"/>
          <w:sz w:val="24"/>
          <w:szCs w:val="24"/>
        </w:rPr>
      </w:pPr>
      <w:r>
        <w:rPr>
          <w:rFonts w:hint="eastAsia" w:ascii="仿宋_GB2312" w:hAnsi="方正小标宋_GBK" w:eastAsia="仿宋_GB2312" w:cs="Times New Roman"/>
          <w:kern w:val="0"/>
          <w:sz w:val="24"/>
          <w:szCs w:val="24"/>
        </w:rPr>
        <w:t>注:申请日</w:t>
      </w:r>
      <w:r>
        <w:rPr>
          <w:rFonts w:hint="eastAsia" w:ascii="仿宋_GB2312" w:hAnsi="方正小标宋_GBK" w:eastAsia="仿宋_GB2312" w:cs="Times New Roman"/>
          <w:kern w:val="0"/>
          <w:sz w:val="24"/>
          <w:szCs w:val="24"/>
          <w:lang w:val="en-US" w:eastAsia="zh-CN"/>
        </w:rPr>
        <w:t>近两</w:t>
      </w:r>
      <w:r>
        <w:rPr>
          <w:rFonts w:hint="eastAsia" w:ascii="仿宋_GB2312" w:hAnsi="方正小标宋_GBK" w:eastAsia="仿宋_GB2312" w:cs="Times New Roman"/>
          <w:kern w:val="0"/>
          <w:sz w:val="24"/>
          <w:szCs w:val="24"/>
        </w:rPr>
        <w:t>个年度相关指标值,安全性、流动性、效益性指标统计口径为申请人数据，以人民币为准。</w:t>
      </w:r>
    </w:p>
    <w:p>
      <w:pPr>
        <w:widowControl/>
        <w:adjustRightInd w:val="0"/>
        <w:snapToGrid w:val="0"/>
        <w:spacing w:line="560" w:lineRule="exact"/>
        <w:rPr>
          <w:rFonts w:hint="eastAsia" w:ascii="仿宋_GB2312" w:hAnsi="方正小标宋_GBK" w:eastAsia="仿宋_GB2312" w:cs="Times New Roman"/>
          <w:kern w:val="0"/>
          <w:sz w:val="30"/>
          <w:szCs w:val="30"/>
        </w:rPr>
      </w:pPr>
    </w:p>
    <w:p>
      <w:pPr>
        <w:widowControl/>
        <w:adjustRightInd w:val="0"/>
        <w:snapToGrid w:val="0"/>
        <w:spacing w:line="560" w:lineRule="exact"/>
        <w:rPr>
          <w:rFonts w:hint="eastAsia" w:ascii="仿宋_GB2312" w:hAnsi="方正小标宋_GBK" w:eastAsia="仿宋_GB2312" w:cs="Times New Roman"/>
          <w:kern w:val="0"/>
          <w:sz w:val="30"/>
          <w:szCs w:val="30"/>
        </w:rPr>
      </w:pPr>
    </w:p>
    <w:p>
      <w:pPr>
        <w:widowControl/>
        <w:adjustRightInd w:val="0"/>
        <w:snapToGrid w:val="0"/>
        <w:spacing w:line="560" w:lineRule="exact"/>
        <w:rPr>
          <w:rFonts w:hint="eastAsia" w:ascii="仿宋_GB2312" w:hAnsi="方正小标宋_GBK" w:eastAsia="仿宋_GB2312" w:cs="Times New Roman"/>
          <w:kern w:val="0"/>
          <w:sz w:val="30"/>
          <w:szCs w:val="30"/>
        </w:rPr>
      </w:pPr>
    </w:p>
    <w:p>
      <w:pPr>
        <w:widowControl/>
        <w:adjustRightInd w:val="0"/>
        <w:snapToGrid w:val="0"/>
        <w:spacing w:line="560" w:lineRule="exact"/>
        <w:rPr>
          <w:rFonts w:hint="eastAsia" w:ascii="仿宋_GB2312" w:hAnsi="方正小标宋_GBK" w:eastAsia="仿宋_GB2312" w:cs="Times New Roman"/>
          <w:kern w:val="0"/>
          <w:sz w:val="30"/>
          <w:szCs w:val="30"/>
        </w:rPr>
      </w:pPr>
    </w:p>
    <w:p>
      <w:pPr>
        <w:widowControl/>
        <w:adjustRightInd w:val="0"/>
        <w:snapToGrid w:val="0"/>
        <w:spacing w:line="560" w:lineRule="exact"/>
        <w:rPr>
          <w:rFonts w:hint="eastAsia" w:ascii="仿宋_GB2312" w:hAnsi="方正小标宋_GBK" w:eastAsia="仿宋_GB2312" w:cs="Times New Roman"/>
          <w:kern w:val="0"/>
          <w:sz w:val="30"/>
          <w:szCs w:val="30"/>
        </w:rPr>
      </w:pPr>
    </w:p>
    <w:p>
      <w:pPr>
        <w:widowControl/>
        <w:adjustRightInd w:val="0"/>
        <w:snapToGrid w:val="0"/>
        <w:spacing w:line="560" w:lineRule="exact"/>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附录3</w:t>
      </w:r>
    </w:p>
    <w:p>
      <w:pPr>
        <w:widowControl/>
        <w:adjustRightInd w:val="0"/>
        <w:snapToGrid w:val="0"/>
        <w:spacing w:line="560" w:lineRule="exact"/>
        <w:jc w:val="center"/>
        <w:rPr>
          <w:rFonts w:ascii="方正小标宋_GBK" w:hAnsi="方正小标宋_GBK" w:eastAsia="方正小标宋_GBK" w:cs="Times New Roman"/>
          <w:kern w:val="0"/>
          <w:sz w:val="36"/>
          <w:szCs w:val="36"/>
        </w:rPr>
      </w:pPr>
      <w:r>
        <w:rPr>
          <w:rFonts w:hint="eastAsia" w:ascii="方正小标宋_GBK" w:hAnsi="方正小标宋_GBK" w:eastAsia="方正小标宋_GBK" w:cs="Times New Roman"/>
          <w:kern w:val="0"/>
          <w:sz w:val="36"/>
          <w:szCs w:val="36"/>
        </w:rPr>
        <w:t>常见错误示例</w:t>
      </w:r>
    </w:p>
    <w:p>
      <w:pPr>
        <w:widowControl/>
        <w:adjustRightInd w:val="0"/>
        <w:snapToGrid w:val="0"/>
        <w:spacing w:line="560" w:lineRule="exact"/>
        <w:jc w:val="center"/>
        <w:rPr>
          <w:rFonts w:ascii="方正小标宋简体" w:hAnsi="方正小标宋_GBK" w:eastAsia="方正小标宋简体" w:cs="Times New Roman"/>
          <w:kern w:val="0"/>
          <w:sz w:val="36"/>
          <w:szCs w:val="36"/>
        </w:rPr>
      </w:pPr>
    </w:p>
    <w:p>
      <w:pPr>
        <w:widowControl/>
        <w:adjustRightInd w:val="0"/>
        <w:snapToGrid w:val="0"/>
        <w:spacing w:line="560" w:lineRule="exact"/>
        <w:ind w:firstLine="600"/>
        <w:rPr>
          <w:rFonts w:ascii="仿宋_GB2312" w:hAnsi="方正小标宋_GBK" w:eastAsia="仿宋_GB2312" w:cs="Times New Roman"/>
          <w:kern w:val="0"/>
          <w:sz w:val="30"/>
          <w:szCs w:val="30"/>
        </w:rPr>
      </w:pPr>
      <w:r>
        <w:rPr>
          <w:rFonts w:hint="eastAsia" w:ascii="仿宋_GB2312" w:hAnsi="方正小标宋_GBK" w:eastAsia="仿宋_GB2312" w:cs="Times New Roman"/>
          <w:b/>
          <w:kern w:val="0"/>
          <w:sz w:val="30"/>
          <w:szCs w:val="30"/>
        </w:rPr>
        <w:t>示例一、申请材料提供不齐全。</w:t>
      </w:r>
      <w:r>
        <w:rPr>
          <w:rFonts w:hint="eastAsia" w:ascii="仿宋_GB2312" w:hAnsi="方正小标宋_GBK" w:eastAsia="仿宋_GB2312" w:cs="Times New Roman"/>
          <w:kern w:val="0"/>
          <w:sz w:val="30"/>
          <w:szCs w:val="30"/>
        </w:rPr>
        <w:t>申请人应按照相关提供申请表，申请书，金融许可证和营业执照，申请机构法定代表人或主要负责人身份证明文件，央行金融机构评级结果，申请人境内资产负债表和利润表，金融监管部门、政府审计部门、会计事务所作出监管和审计报告，违法违规行为及案件查处说明，相关指标统计表，申请材料真实性声明，其他材料等。在实际工作中，申请人因工作疏忽或上级部门不给提供相关材料等原因，出现申请材料不齐全或申请材料关键信息要素不完整、错误等情况。</w:t>
      </w:r>
    </w:p>
    <w:p>
      <w:pPr>
        <w:widowControl/>
        <w:adjustRightInd w:val="0"/>
        <w:snapToGrid w:val="0"/>
        <w:spacing w:line="560" w:lineRule="exact"/>
        <w:ind w:firstLine="600"/>
        <w:rPr>
          <w:rFonts w:ascii="仿宋_GB2312" w:hAnsi="方正小标宋_GBK" w:eastAsia="仿宋_GB2312" w:cs="Times New Roman"/>
          <w:kern w:val="0"/>
          <w:sz w:val="30"/>
          <w:szCs w:val="30"/>
        </w:rPr>
      </w:pPr>
      <w:r>
        <w:rPr>
          <w:rFonts w:hint="eastAsia" w:ascii="仿宋_GB2312" w:hAnsi="方正小标宋_GBK" w:eastAsia="仿宋_GB2312" w:cs="Times New Roman"/>
          <w:b/>
          <w:kern w:val="0"/>
          <w:sz w:val="30"/>
          <w:szCs w:val="30"/>
        </w:rPr>
        <w:t>示例二、申请材料不加盖公章或只盖部门公章。</w:t>
      </w:r>
      <w:r>
        <w:rPr>
          <w:rFonts w:hint="eastAsia" w:ascii="仿宋_GB2312" w:hAnsi="方正小标宋_GBK" w:eastAsia="仿宋_GB2312" w:cs="Times New Roman"/>
          <w:kern w:val="0"/>
          <w:sz w:val="30"/>
          <w:szCs w:val="30"/>
        </w:rPr>
        <w:t>申请材料如为复印件，应当加盖单位公章。在实际工作中，申请人提交纸质申请材料复印件时，出现忘记加盖公章或者只盖部门公章的情况。</w:t>
      </w:r>
    </w:p>
    <w:p>
      <w:pPr>
        <w:widowControl/>
        <w:adjustRightInd w:val="0"/>
        <w:snapToGrid w:val="0"/>
        <w:spacing w:line="560" w:lineRule="exact"/>
        <w:ind w:firstLine="600"/>
        <w:rPr>
          <w:rFonts w:ascii="仿宋_GB2312" w:hAnsi="方正小标宋_GBK" w:eastAsia="仿宋_GB2312" w:cs="Times New Roman"/>
          <w:kern w:val="0"/>
          <w:sz w:val="30"/>
          <w:szCs w:val="30"/>
        </w:rPr>
      </w:pPr>
      <w:r>
        <w:rPr>
          <w:rFonts w:hint="eastAsia" w:ascii="仿宋_GB2312" w:hAnsi="方正小标宋_GBK" w:eastAsia="仿宋_GB2312" w:cs="Times New Roman"/>
          <w:b/>
          <w:kern w:val="0"/>
          <w:sz w:val="30"/>
          <w:szCs w:val="30"/>
        </w:rPr>
        <w:t>示例三、申请表填写不规范。</w:t>
      </w:r>
      <w:r>
        <w:rPr>
          <w:rFonts w:hint="eastAsia" w:ascii="仿宋_GB2312" w:hAnsi="方正小标宋_GBK" w:eastAsia="仿宋_GB2312" w:cs="Times New Roman"/>
          <w:kern w:val="0"/>
          <w:sz w:val="30"/>
          <w:szCs w:val="30"/>
        </w:rPr>
        <w:t>“国库集中收付代理银行资格认定申请表”填写时，个别申请人对“网点数”理解存在偏差，其中“政府非税收入收缴业务—网点数量”为申请机构下辖拟办理非税收入收缴业务的网点数量；“国库集中支付业务—对公业务网点数量”为申请机构下辖办理对公业务的网点数量。</w:t>
      </w:r>
    </w:p>
    <w:p>
      <w:pPr>
        <w:widowControl/>
        <w:adjustRightInd w:val="0"/>
        <w:snapToGrid w:val="0"/>
        <w:spacing w:line="560" w:lineRule="exact"/>
        <w:ind w:firstLine="600"/>
        <w:rPr>
          <w:rFonts w:ascii="仿宋_GB2312" w:hAnsi="黑体" w:eastAsia="仿宋_GB2312"/>
          <w:sz w:val="30"/>
          <w:szCs w:val="30"/>
        </w:rPr>
      </w:pPr>
      <w:r>
        <w:rPr>
          <w:rFonts w:hint="eastAsia" w:ascii="仿宋_GB2312" w:hAnsi="方正小标宋_GBK" w:eastAsia="仿宋_GB2312" w:cs="Times New Roman"/>
          <w:b/>
          <w:kern w:val="0"/>
          <w:sz w:val="30"/>
          <w:szCs w:val="30"/>
        </w:rPr>
        <w:t>示例四、申请书叙述不完整。</w:t>
      </w:r>
      <w:r>
        <w:rPr>
          <w:rFonts w:hint="eastAsia" w:ascii="仿宋_GB2312" w:hAnsi="方正小标宋_GBK" w:eastAsia="仿宋_GB2312" w:cs="Times New Roman"/>
          <w:kern w:val="0"/>
          <w:sz w:val="30"/>
          <w:szCs w:val="30"/>
        </w:rPr>
        <w:t>申请书内容包括但不限于下列内容：前十大股东控股情况（以认定通知落款日期为准）、机构设置、主管部门职责、人员配备、网点分布、内控管理建设、信息系统建设、资金汇划</w:t>
      </w:r>
      <w:r>
        <w:rPr>
          <w:rFonts w:hint="eastAsia" w:ascii="仿宋_GB2312" w:hAnsi="方正小标宋_GBK" w:eastAsia="仿宋_GB2312" w:cs="Times New Roman"/>
          <w:kern w:val="0"/>
          <w:sz w:val="30"/>
          <w:szCs w:val="30"/>
          <w:lang w:val="en-US" w:eastAsia="zh-CN"/>
        </w:rPr>
        <w:t>方式</w:t>
      </w:r>
      <w:r>
        <w:rPr>
          <w:rFonts w:hint="eastAsia" w:ascii="仿宋_GB2312" w:hAnsi="方正小标宋_GBK" w:eastAsia="仿宋_GB2312" w:cs="Times New Roman"/>
          <w:kern w:val="0"/>
          <w:sz w:val="30"/>
          <w:szCs w:val="30"/>
        </w:rPr>
        <w:t>渠道、国库集中收付业务管理办法和操作规程、</w:t>
      </w:r>
      <w:r>
        <w:rPr>
          <w:rFonts w:hint="eastAsia" w:ascii="仿宋_GB2312" w:hAnsi="黑体" w:eastAsia="仿宋_GB2312"/>
          <w:sz w:val="30"/>
          <w:szCs w:val="30"/>
        </w:rPr>
        <w:t>风险防范机制，根据国库集中收付业务需要制定的计算机硬件配置、软件开发和联网通讯方案等配套措施（含与财政预算管理一体化系统联网情况）、办理财税业务及代理国库业务情况、服务承诺等，申请人在申请书中往往漏写相关内容。</w:t>
      </w:r>
    </w:p>
    <w:p>
      <w:pPr>
        <w:widowControl/>
        <w:adjustRightInd w:val="0"/>
        <w:snapToGrid w:val="0"/>
        <w:spacing w:line="560" w:lineRule="exact"/>
        <w:ind w:firstLine="600"/>
        <w:rPr>
          <w:rFonts w:ascii="仿宋_GB2312" w:hAnsi="黑体" w:eastAsia="仿宋_GB2312"/>
          <w:sz w:val="30"/>
          <w:szCs w:val="30"/>
        </w:rPr>
      </w:pPr>
      <w:r>
        <w:rPr>
          <w:rFonts w:hint="eastAsia" w:ascii="仿宋_GB2312" w:hAnsi="黑体" w:eastAsia="仿宋_GB2312"/>
          <w:b/>
          <w:sz w:val="30"/>
          <w:szCs w:val="30"/>
        </w:rPr>
        <w:t>示例五、申请机构法定代表人或主要负责人与营业执照法定代表人不符</w:t>
      </w:r>
      <w:r>
        <w:rPr>
          <w:rFonts w:hint="eastAsia" w:ascii="仿宋_GB2312" w:hAnsi="黑体" w:eastAsia="仿宋_GB2312"/>
          <w:sz w:val="30"/>
          <w:szCs w:val="30"/>
        </w:rPr>
        <w:t>。因申请机构法定代表人或主要负责人调整或更换，而营业执照上法定代表人未及时更新，导致申请人提供法定代表人或主要负责人身份证明文件与营业执照上法定代表人信息不符时，申请人未提供现有法定代表人或主要负责人任职文件及相关说明。</w:t>
      </w: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rPr>
          <w:rFonts w:ascii="仿宋_GB2312" w:hAnsi="方正小标宋_GBK" w:eastAsia="仿宋_GB2312" w:cs="Times New Roman"/>
          <w:kern w:val="0"/>
          <w:sz w:val="30"/>
          <w:szCs w:val="30"/>
        </w:rPr>
      </w:pPr>
    </w:p>
    <w:p>
      <w:pPr>
        <w:widowControl/>
        <w:adjustRightInd w:val="0"/>
        <w:snapToGrid w:val="0"/>
        <w:spacing w:line="560" w:lineRule="exact"/>
        <w:rPr>
          <w:rFonts w:hint="eastAsia" w:ascii="仿宋_GB2312" w:hAnsi="方正小标宋_GBK" w:eastAsia="仿宋_GB2312" w:cs="Times New Roman"/>
          <w:kern w:val="0"/>
          <w:sz w:val="30"/>
          <w:szCs w:val="30"/>
        </w:rPr>
      </w:pPr>
    </w:p>
    <w:p>
      <w:pPr>
        <w:widowControl/>
        <w:adjustRightInd w:val="0"/>
        <w:snapToGrid w:val="0"/>
        <w:spacing w:line="560" w:lineRule="exact"/>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附录4</w:t>
      </w:r>
    </w:p>
    <w:p>
      <w:pPr>
        <w:widowControl/>
        <w:adjustRightInd w:val="0"/>
        <w:snapToGrid w:val="0"/>
        <w:spacing w:line="560" w:lineRule="exact"/>
        <w:jc w:val="center"/>
        <w:rPr>
          <w:rFonts w:ascii="方正小标宋_GBK" w:hAnsi="方正小标宋_GBK" w:eastAsia="方正小标宋_GBK" w:cs="Times New Roman"/>
          <w:kern w:val="0"/>
          <w:sz w:val="36"/>
          <w:szCs w:val="36"/>
        </w:rPr>
      </w:pPr>
      <w:r>
        <w:rPr>
          <w:rFonts w:hint="eastAsia" w:ascii="方正小标宋_GBK" w:hAnsi="方正小标宋_GBK" w:eastAsia="方正小标宋_GBK" w:cs="Times New Roman"/>
          <w:kern w:val="0"/>
          <w:sz w:val="36"/>
          <w:szCs w:val="36"/>
        </w:rPr>
        <w:t>常见问题解答</w:t>
      </w:r>
    </w:p>
    <w:p>
      <w:pPr>
        <w:widowControl/>
        <w:adjustRightInd w:val="0"/>
        <w:snapToGrid w:val="0"/>
        <w:spacing w:line="560" w:lineRule="exact"/>
        <w:ind w:firstLine="585"/>
        <w:rPr>
          <w:rFonts w:ascii="仿宋_GB2312" w:hAnsi="方正小标宋_GBK" w:eastAsia="仿宋_GB2312" w:cs="Times New Roman"/>
          <w:b/>
          <w:kern w:val="0"/>
          <w:sz w:val="30"/>
          <w:szCs w:val="30"/>
        </w:rPr>
      </w:pPr>
    </w:p>
    <w:p>
      <w:pPr>
        <w:widowControl/>
        <w:adjustRightInd w:val="0"/>
        <w:snapToGrid w:val="0"/>
        <w:spacing w:line="560" w:lineRule="exact"/>
        <w:ind w:firstLine="585"/>
        <w:rPr>
          <w:rFonts w:ascii="仿宋_GB2312" w:hAnsi="方正小标宋_GBK" w:eastAsia="仿宋_GB2312" w:cs="Times New Roman"/>
          <w:b/>
          <w:kern w:val="0"/>
          <w:sz w:val="30"/>
          <w:szCs w:val="30"/>
        </w:rPr>
      </w:pPr>
      <w:r>
        <w:rPr>
          <w:rFonts w:hint="eastAsia" w:ascii="仿宋_GB2312" w:hAnsi="方正小标宋_GBK" w:eastAsia="仿宋_GB2312" w:cs="Times New Roman"/>
          <w:b/>
          <w:kern w:val="0"/>
          <w:sz w:val="30"/>
          <w:szCs w:val="30"/>
        </w:rPr>
        <w:t>问题一、什么是国库集中收付代理银行资格认定？</w:t>
      </w:r>
    </w:p>
    <w:p>
      <w:pPr>
        <w:widowControl/>
        <w:adjustRightInd w:val="0"/>
        <w:snapToGrid w:val="0"/>
        <w:spacing w:line="560" w:lineRule="exact"/>
        <w:ind w:firstLine="585"/>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答：国库集中收付代理银行资格认定，是指中国人民银行受理商业银行的申请，经依法审查，核定其是否有参加国库集中收付代理银行招标活动的资格的行为。根据《中央财政国库集中收付代理银行资格认定管理暂行办法》（银发〔2012〕172号）、《关于明确地方国库集中收付代理银行资格认定有关事宜的通知》（银发〔2009〕385号）、《内蒙古自治区本级财政国库集中收付代理银行管理办法》（内财库〔2015〕2117号）等制度规定，财政部门应在获得人民银行国库集中收付代理银行资格认定的商业银行范围内，通过公开招投标方式选择确定国库集中支付代理银行，并与财政部门签订代理协议，与人民银行国库部门签订支付清算协议后方可代理集中支付业务，否则人民银行国库部门有权拒绝与其进行集中支付资金清算。</w:t>
      </w:r>
    </w:p>
    <w:p>
      <w:pPr>
        <w:widowControl/>
        <w:adjustRightInd w:val="0"/>
        <w:snapToGrid w:val="0"/>
        <w:spacing w:line="560" w:lineRule="exact"/>
        <w:ind w:firstLine="585"/>
        <w:rPr>
          <w:rFonts w:ascii="仿宋_GB2312" w:hAnsi="方正小标宋_GBK" w:eastAsia="仿宋_GB2312" w:cs="Times New Roman"/>
          <w:b/>
          <w:kern w:val="0"/>
          <w:sz w:val="30"/>
          <w:szCs w:val="30"/>
        </w:rPr>
      </w:pPr>
      <w:r>
        <w:rPr>
          <w:rFonts w:hint="eastAsia" w:ascii="仿宋_GB2312" w:hAnsi="方正小标宋_GBK" w:eastAsia="仿宋_GB2312" w:cs="Times New Roman"/>
          <w:b/>
          <w:kern w:val="0"/>
          <w:sz w:val="30"/>
          <w:szCs w:val="30"/>
        </w:rPr>
        <w:t>问题二、国库集中收付代理银行资格认定分为哪几类？</w:t>
      </w:r>
    </w:p>
    <w:p>
      <w:pPr>
        <w:widowControl/>
        <w:adjustRightInd w:val="0"/>
        <w:snapToGrid w:val="0"/>
        <w:spacing w:line="560" w:lineRule="exact"/>
        <w:ind w:firstLine="585"/>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答：按照业务种类，国库集中收付代理银行资格认定可分为国库集中支付代理银行资格认定和政府非税收入收缴代理银行资格认定等。</w:t>
      </w:r>
    </w:p>
    <w:p>
      <w:pPr>
        <w:widowControl/>
        <w:adjustRightInd w:val="0"/>
        <w:snapToGrid w:val="0"/>
        <w:spacing w:line="560" w:lineRule="exact"/>
        <w:ind w:firstLine="585"/>
        <w:rPr>
          <w:rFonts w:ascii="仿宋_GB2312" w:hAnsi="方正小标宋_GBK" w:eastAsia="仿宋_GB2312" w:cs="Times New Roman"/>
          <w:b/>
          <w:kern w:val="0"/>
          <w:sz w:val="30"/>
          <w:szCs w:val="30"/>
        </w:rPr>
      </w:pPr>
      <w:r>
        <w:rPr>
          <w:rFonts w:hint="eastAsia" w:ascii="仿宋_GB2312" w:hAnsi="方正小标宋_GBK" w:eastAsia="仿宋_GB2312" w:cs="Times New Roman"/>
          <w:b/>
          <w:kern w:val="0"/>
          <w:sz w:val="30"/>
          <w:szCs w:val="30"/>
        </w:rPr>
        <w:t>问题三：外资银行是否可以申请国库集中收付代理银行资格？</w:t>
      </w:r>
    </w:p>
    <w:p>
      <w:pPr>
        <w:widowControl/>
        <w:adjustRightInd w:val="0"/>
        <w:snapToGrid w:val="0"/>
        <w:spacing w:line="560" w:lineRule="exact"/>
        <w:ind w:firstLine="585"/>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答：参照《中央财政国库集中收付代理银行资格认定管理暂行办法》（银发〔2012〕172号），可以申请国库集中收付代理银行资格的银行金融机构包括国有商业银行、股份制商业银行、城市商业银行、农村商业银行、农村信用合作社及其他地方法人机构等，不包括外资银行，所以目前外资银行无法取得国库集中收付代理银行资格。</w:t>
      </w:r>
    </w:p>
    <w:p>
      <w:pPr>
        <w:widowControl/>
        <w:adjustRightInd w:val="0"/>
        <w:snapToGrid w:val="0"/>
        <w:spacing w:line="560" w:lineRule="exact"/>
        <w:ind w:firstLine="585"/>
        <w:rPr>
          <w:rFonts w:ascii="仿宋_GB2312" w:hAnsi="方正小标宋_GBK" w:eastAsia="仿宋_GB2312" w:cs="Times New Roman"/>
          <w:b/>
          <w:kern w:val="0"/>
          <w:sz w:val="30"/>
          <w:szCs w:val="30"/>
        </w:rPr>
      </w:pPr>
      <w:r>
        <w:rPr>
          <w:rFonts w:hint="eastAsia" w:ascii="仿宋_GB2312" w:hAnsi="方正小标宋_GBK" w:eastAsia="仿宋_GB2312" w:cs="Times New Roman"/>
          <w:b/>
          <w:kern w:val="0"/>
          <w:sz w:val="30"/>
          <w:szCs w:val="30"/>
        </w:rPr>
        <w:t>问题四、申请人未经办过国库集中收付业务，是否可以申请代理？</w:t>
      </w:r>
    </w:p>
    <w:p>
      <w:pPr>
        <w:widowControl/>
        <w:adjustRightInd w:val="0"/>
        <w:snapToGrid w:val="0"/>
        <w:spacing w:line="560" w:lineRule="exact"/>
        <w:ind w:firstLine="585"/>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答：可以。</w:t>
      </w:r>
    </w:p>
    <w:p>
      <w:pPr>
        <w:widowControl/>
        <w:adjustRightInd w:val="0"/>
        <w:snapToGrid w:val="0"/>
        <w:spacing w:line="560" w:lineRule="exact"/>
        <w:ind w:firstLine="585"/>
        <w:rPr>
          <w:rFonts w:ascii="仿宋_GB2312" w:hAnsi="方正小标宋_GBK" w:eastAsia="仿宋_GB2312" w:cs="Times New Roman"/>
          <w:b/>
          <w:kern w:val="0"/>
          <w:sz w:val="30"/>
          <w:szCs w:val="30"/>
        </w:rPr>
      </w:pPr>
      <w:r>
        <w:rPr>
          <w:rFonts w:hint="eastAsia" w:ascii="仿宋_GB2312" w:hAnsi="方正小标宋_GBK" w:eastAsia="仿宋_GB2312" w:cs="Times New Roman"/>
          <w:b/>
          <w:kern w:val="0"/>
          <w:sz w:val="30"/>
          <w:szCs w:val="30"/>
        </w:rPr>
        <w:t>问题五、申请人提交申请材料不齐全或有误的怎么办？</w:t>
      </w:r>
    </w:p>
    <w:p>
      <w:pPr>
        <w:widowControl/>
        <w:adjustRightInd w:val="0"/>
        <w:snapToGrid w:val="0"/>
        <w:spacing w:line="560" w:lineRule="exact"/>
        <w:ind w:firstLine="585"/>
        <w:rPr>
          <w:rStyle w:val="8"/>
          <w:rFonts w:ascii="宋体" w:hAnsi="宋体" w:eastAsia="宋体"/>
          <w:i w:val="0"/>
          <w:sz w:val="24"/>
          <w:szCs w:val="24"/>
        </w:rPr>
      </w:pPr>
      <w:r>
        <w:rPr>
          <w:rFonts w:hint="eastAsia" w:ascii="仿宋_GB2312" w:hAnsi="方正小标宋_GBK" w:eastAsia="仿宋_GB2312" w:cs="Times New Roman"/>
          <w:kern w:val="0"/>
          <w:sz w:val="30"/>
          <w:szCs w:val="30"/>
        </w:rPr>
        <w:t>答：申请材料不齐全或者不符合法定形式的，</w:t>
      </w:r>
      <w:r>
        <w:rPr>
          <w:rFonts w:hint="eastAsia" w:ascii="仿宋_GB2312" w:hAnsi="方正小标宋_GBK" w:eastAsia="仿宋_GB2312" w:cs="Times New Roman"/>
          <w:kern w:val="0"/>
          <w:sz w:val="30"/>
          <w:szCs w:val="30"/>
          <w:lang w:val="en-US" w:eastAsia="zh-CN"/>
        </w:rPr>
        <w:t>受理机构</w:t>
      </w:r>
      <w:r>
        <w:rPr>
          <w:rFonts w:hint="eastAsia" w:ascii="仿宋_GB2312" w:hAnsi="方正小标宋_GBK" w:eastAsia="仿宋_GB2312" w:cs="Times New Roman"/>
          <w:kern w:val="0"/>
          <w:sz w:val="30"/>
          <w:szCs w:val="30"/>
        </w:rPr>
        <w:t>应允许当场修改，或者在5个工作日内一次告知申请人需要补正的全部内容。逾期不告知的，自收到申请材料之日起即为受理。</w:t>
      </w:r>
    </w:p>
    <w:sectPr>
      <w:pgSz w:w="11906" w:h="16838"/>
      <w:pgMar w:top="567" w:right="851" w:bottom="567" w:left="85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-285750</wp:posOffset>
              </wp:positionV>
              <wp:extent cx="114300" cy="132080"/>
              <wp:effectExtent l="0" t="0" r="0" b="0"/>
              <wp:wrapNone/>
              <wp:docPr id="75" name="文本框 43"/>
              <wp:cNvGraphicFramePr/>
              <a:graphic xmlns:a="http://schemas.openxmlformats.org/drawingml/2006/main">
                <a:graphicData uri="http://schemas.microsoft.com/office/word/2010/wordprocessingShape">
                  <wps:wsp>
                    <wps:cNvSpPr txBox="1"/>
                    <wps:spPr>
                      <a:xfrm>
                        <a:off x="0" y="0"/>
                        <a:ext cx="114300" cy="13208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43" o:spid="_x0000_s1026" o:spt="202" type="#_x0000_t202" style="position:absolute;left:0pt;margin-top:-22.5pt;height:10.4pt;width:9pt;mso-position-horizontal:center;mso-position-horizontal-relative:margin;mso-wrap-style:none;z-index:251659264;mso-width-relative:page;mso-height-relative:page;" filled="f" stroked="f" coordsize="21600,21600" o:gfxdata="UEsDBAoAAAAAAIdO4kAAAAAAAAAAAAAAAAAEAAAAZHJzL1BLAwQUAAAACACHTuJAXteoz9MAAAAH&#10;AQAADwAAAGRycy9kb3ducmV2LnhtbE2PP0/DMBDFdyS+g3VIbK3TqEAU4nSoxMJGQUjd3PgaR9jn&#10;yHbT5NtznWC6P+/03u+a3eydmDCmIZCCzboAgdQFM1Cv4OvzbVWBSFmT0S4QKlgwwa69v2t0bcKV&#10;PnA65F6wCaVaK7A5j7WUqbPodVqHEYm1c4heZx5jL03UVzb3TpZF8Sy9HogTrB5xb7H7OVy8gpf5&#10;O+CYcI/H89RFOyyVe1+UenzYFK8gMs757xhu+IwOLTOdwoVMEk4BP5IVrLZP3NzkiuuJF+W2BNk2&#10;8j9/+wtQSwMEFAAAAAgAh07iQBHUndK1AQAASwMAAA4AAABkcnMvZTJvRG9jLnhtbK1TS27bMBDd&#10;F+gdCO5rynaSBoLloEWQokCRFEh7AJoiLQL8YUhb8gXSG2SVTfY9l8+RIW05/eyKbqjhzHDmvTej&#10;xdVgDdlKiNq7hk4nFSXSCd9qt27o92837y4piYm7lhvvZEN3MtKr5ds3iz7UcuY7b1oJBIu4WPeh&#10;oV1KoWYsik5aHic+SIdB5cHyhFdYsxZ4j9WtYbOqumC9hzaAFzJG9F4fgnRZ6islRbpTKspETEMR&#10;WyonlHOVT7Zc8HoNPHRaHGHwf0BhuXbY9FTqmidONqD/KmW1AB+9ShPhLfNKaSELB2Qzrf5gc9/x&#10;IAsXFCeGk0zx/5UVt9uvQHTb0PfnlDhucUb7xx/7p5/75wdyNs8C9SHWmHcfMDMNH/2Agx79EZ2Z&#10;96DA5i8yIhhHqXcneeWQiMiPpmfzCiMCQ9P5rLos8rPXxwFi+iS9JdloKOD0iqh8+yUmBIKpY0ru&#10;5fyNNqZM0LjfHJiYPSwjPyDMVhpWw5HOyrc7ZNPj4BvqcDMpMZ8d6pp3ZDRgNFajsQmg111Zotwv&#10;hg+bhCAKttzhUPbYGCdWIB+3K6/Er/eS9foPLF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Xteo&#10;z9MAAAAHAQAADwAAAAAAAAABACAAAAAiAAAAZHJzL2Rvd25yZXYueG1sUEsBAhQAFAAAAAgAh07i&#10;QBHUndK1AQAASwMAAA4AAAAAAAAAAQAgAAAAIgEAAGRycy9lMm9Eb2MueG1sUEsFBgAAAAAGAAYA&#10;WQEAAEk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AB6"/>
    <w:rsid w:val="000021DB"/>
    <w:rsid w:val="000030E8"/>
    <w:rsid w:val="00010591"/>
    <w:rsid w:val="000164F4"/>
    <w:rsid w:val="00043F1B"/>
    <w:rsid w:val="00063447"/>
    <w:rsid w:val="00082ED3"/>
    <w:rsid w:val="00092E58"/>
    <w:rsid w:val="000B32AD"/>
    <w:rsid w:val="00105AF8"/>
    <w:rsid w:val="0011027D"/>
    <w:rsid w:val="00134423"/>
    <w:rsid w:val="001346EB"/>
    <w:rsid w:val="00176325"/>
    <w:rsid w:val="0018402A"/>
    <w:rsid w:val="001A6350"/>
    <w:rsid w:val="001B0381"/>
    <w:rsid w:val="001C3E85"/>
    <w:rsid w:val="001F1509"/>
    <w:rsid w:val="001F5BC1"/>
    <w:rsid w:val="002008B2"/>
    <w:rsid w:val="002046AF"/>
    <w:rsid w:val="00205A71"/>
    <w:rsid w:val="002379B0"/>
    <w:rsid w:val="00263AFE"/>
    <w:rsid w:val="002D585D"/>
    <w:rsid w:val="002F0CC8"/>
    <w:rsid w:val="002F25C5"/>
    <w:rsid w:val="0031027D"/>
    <w:rsid w:val="0031164A"/>
    <w:rsid w:val="00327FE6"/>
    <w:rsid w:val="00330124"/>
    <w:rsid w:val="00351D82"/>
    <w:rsid w:val="0036271F"/>
    <w:rsid w:val="003A5ABA"/>
    <w:rsid w:val="003B7C51"/>
    <w:rsid w:val="003C5350"/>
    <w:rsid w:val="003C696F"/>
    <w:rsid w:val="003D0BBA"/>
    <w:rsid w:val="003E7F7F"/>
    <w:rsid w:val="003F499B"/>
    <w:rsid w:val="004061A5"/>
    <w:rsid w:val="00433320"/>
    <w:rsid w:val="00454CC8"/>
    <w:rsid w:val="00470264"/>
    <w:rsid w:val="00493EC6"/>
    <w:rsid w:val="0049516F"/>
    <w:rsid w:val="004F1801"/>
    <w:rsid w:val="00510394"/>
    <w:rsid w:val="00546034"/>
    <w:rsid w:val="0057076C"/>
    <w:rsid w:val="005939FC"/>
    <w:rsid w:val="005B3661"/>
    <w:rsid w:val="005C519F"/>
    <w:rsid w:val="005E49D3"/>
    <w:rsid w:val="005E7704"/>
    <w:rsid w:val="005F26B7"/>
    <w:rsid w:val="00600224"/>
    <w:rsid w:val="006236AE"/>
    <w:rsid w:val="0063344E"/>
    <w:rsid w:val="006526DF"/>
    <w:rsid w:val="00681D59"/>
    <w:rsid w:val="006A434B"/>
    <w:rsid w:val="006C6CC7"/>
    <w:rsid w:val="006E2A83"/>
    <w:rsid w:val="00702E7B"/>
    <w:rsid w:val="00703859"/>
    <w:rsid w:val="0072267B"/>
    <w:rsid w:val="007261D4"/>
    <w:rsid w:val="00792E54"/>
    <w:rsid w:val="007B0373"/>
    <w:rsid w:val="007D20A0"/>
    <w:rsid w:val="00804D01"/>
    <w:rsid w:val="00834138"/>
    <w:rsid w:val="00840088"/>
    <w:rsid w:val="00850307"/>
    <w:rsid w:val="0088498B"/>
    <w:rsid w:val="00913974"/>
    <w:rsid w:val="0092123F"/>
    <w:rsid w:val="00930529"/>
    <w:rsid w:val="00970619"/>
    <w:rsid w:val="009A25FC"/>
    <w:rsid w:val="009A39D1"/>
    <w:rsid w:val="009A7910"/>
    <w:rsid w:val="009C1D9D"/>
    <w:rsid w:val="00A271C4"/>
    <w:rsid w:val="00A3616E"/>
    <w:rsid w:val="00A71565"/>
    <w:rsid w:val="00A84151"/>
    <w:rsid w:val="00A85D61"/>
    <w:rsid w:val="00AC64F3"/>
    <w:rsid w:val="00B22C3D"/>
    <w:rsid w:val="00B36AEE"/>
    <w:rsid w:val="00B53F2B"/>
    <w:rsid w:val="00B57A03"/>
    <w:rsid w:val="00B74D08"/>
    <w:rsid w:val="00B966C8"/>
    <w:rsid w:val="00BB72FC"/>
    <w:rsid w:val="00BC43EA"/>
    <w:rsid w:val="00BC6341"/>
    <w:rsid w:val="00BC7EF3"/>
    <w:rsid w:val="00BD301E"/>
    <w:rsid w:val="00BE3E75"/>
    <w:rsid w:val="00BE49DF"/>
    <w:rsid w:val="00BF3542"/>
    <w:rsid w:val="00BF55BF"/>
    <w:rsid w:val="00C240C8"/>
    <w:rsid w:val="00C35AB6"/>
    <w:rsid w:val="00C507C3"/>
    <w:rsid w:val="00C548DB"/>
    <w:rsid w:val="00C72309"/>
    <w:rsid w:val="00C873AE"/>
    <w:rsid w:val="00C93DE4"/>
    <w:rsid w:val="00C93E8B"/>
    <w:rsid w:val="00CA4C30"/>
    <w:rsid w:val="00D119A5"/>
    <w:rsid w:val="00D24825"/>
    <w:rsid w:val="00D24EC9"/>
    <w:rsid w:val="00D624F4"/>
    <w:rsid w:val="00D72831"/>
    <w:rsid w:val="00D9079B"/>
    <w:rsid w:val="00DA661E"/>
    <w:rsid w:val="00DD1F5F"/>
    <w:rsid w:val="00DF279C"/>
    <w:rsid w:val="00E0085C"/>
    <w:rsid w:val="00E05F5F"/>
    <w:rsid w:val="00E10327"/>
    <w:rsid w:val="00E22B13"/>
    <w:rsid w:val="00E36E2F"/>
    <w:rsid w:val="00E65B2E"/>
    <w:rsid w:val="00E72D5E"/>
    <w:rsid w:val="00E75A54"/>
    <w:rsid w:val="00ED4B54"/>
    <w:rsid w:val="00F1309D"/>
    <w:rsid w:val="00F618AA"/>
    <w:rsid w:val="00F62482"/>
    <w:rsid w:val="00F700B5"/>
    <w:rsid w:val="00F96780"/>
    <w:rsid w:val="00FA0CEE"/>
    <w:rsid w:val="00FE19EE"/>
    <w:rsid w:val="00FE749C"/>
    <w:rsid w:val="00FF5042"/>
    <w:rsid w:val="00FF78AF"/>
    <w:rsid w:val="0F401C8A"/>
    <w:rsid w:val="1A5E3E38"/>
    <w:rsid w:val="1D654B74"/>
    <w:rsid w:val="1EB07E63"/>
    <w:rsid w:val="2C985D74"/>
    <w:rsid w:val="3D3F316E"/>
    <w:rsid w:val="445F4819"/>
    <w:rsid w:val="4F7C5F34"/>
    <w:rsid w:val="75CF035A"/>
    <w:rsid w:val="7A4C3D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Times New Roman" w:hAnsi="Times New Roman" w:cs="Times New Roman"/>
      <w:kern w:val="0"/>
      <w:sz w:val="24"/>
      <w:szCs w:val="24"/>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Emphasis"/>
    <w:basedOn w:val="7"/>
    <w:qFormat/>
    <w:uiPriority w:val="20"/>
    <w:rPr>
      <w:i/>
      <w:iCs/>
    </w:rPr>
  </w:style>
  <w:style w:type="paragraph" w:customStyle="1" w:styleId="9">
    <w:name w:val="List Paragraph"/>
    <w:basedOn w:val="1"/>
    <w:qFormat/>
    <w:uiPriority w:val="34"/>
    <w:pPr>
      <w:ind w:firstLine="420" w:firstLineChars="200"/>
    </w:pPr>
  </w:style>
  <w:style w:type="character" w:customStyle="1" w:styleId="10">
    <w:name w:val="页眉 Char"/>
    <w:basedOn w:val="7"/>
    <w:link w:val="3"/>
    <w:semiHidden/>
    <w:qFormat/>
    <w:uiPriority w:val="99"/>
    <w:rPr>
      <w:sz w:val="18"/>
      <w:szCs w:val="18"/>
    </w:rPr>
  </w:style>
  <w:style w:type="character" w:customStyle="1" w:styleId="11">
    <w:name w:val="页脚 Char"/>
    <w:basedOn w:val="7"/>
    <w:link w:val="2"/>
    <w:qFormat/>
    <w:uiPriority w:val="99"/>
    <w:rPr>
      <w:sz w:val="18"/>
      <w:szCs w:val="18"/>
    </w:rPr>
  </w:style>
  <w:style w:type="paragraph" w:customStyle="1" w:styleId="12">
    <w:name w:val="p0"/>
    <w:basedOn w:val="1"/>
    <w:qFormat/>
    <w:uiPriority w:val="0"/>
    <w:pPr>
      <w:widowControl/>
      <w:adjustRightInd w:val="0"/>
      <w:snapToGrid w:val="0"/>
      <w:jc w:val="left"/>
    </w:pPr>
    <w:rPr>
      <w:rFonts w:ascii="Arial" w:hAnsi="Arial" w:cs="Arial"/>
      <w:color w:val="000000"/>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Company>
  <Pages>14</Pages>
  <Words>942</Words>
  <Characters>5376</Characters>
  <Lines>44</Lines>
  <Paragraphs>12</Paragraphs>
  <TotalTime>6</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2023-03-08T06:24:00Z</dcterms:created>
  <dc:creator>周雪峰</dc:creator>
  <cp:lastModifiedBy>刘树慧</cp:lastModifiedBy>
  <cp:lastPrinted>2023-09-20T09:15:00Z</cp:lastPrinted>
  <dcterms:modified xsi:type="dcterms:W3CDTF">2025-07-17T08:08:24Z</dcterms:modified>
  <dc:title>锡林郭勒盟  国库集中收付代理银行资格认定服务指南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