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line="294" w:lineRule="auto"/>
        <w:rPr>
          <w:rFonts w:hint="eastAsia" w:eastAsia="宋体"/>
          <w:lang w:val="en-US" w:eastAsia="zh-CN"/>
        </w:rPr>
      </w:pPr>
    </w:p>
    <w:p>
      <w:pPr>
        <w:pStyle w:val="2"/>
        <w:spacing w:line="294" w:lineRule="auto"/>
      </w:pPr>
    </w:p>
    <w:p>
      <w:pPr>
        <w:pStyle w:val="2"/>
        <w:spacing w:line="294" w:lineRule="auto"/>
      </w:pPr>
    </w:p>
    <w:p>
      <w:pPr>
        <w:spacing w:line="226" w:lineRule="auto"/>
        <w:rPr>
          <w:rFonts w:ascii="宋体" w:hAnsi="宋体" w:eastAsia="宋体" w:cs="宋体"/>
          <w:sz w:val="27"/>
          <w:szCs w:val="27"/>
        </w:rPr>
      </w:pPr>
    </w:p>
    <w:p>
      <w:pPr>
        <w:spacing w:line="226" w:lineRule="auto"/>
        <w:rPr>
          <w:rFonts w:ascii="宋体" w:hAnsi="宋体" w:eastAsia="宋体" w:cs="宋体"/>
          <w:sz w:val="27"/>
          <w:szCs w:val="27"/>
        </w:rPr>
      </w:pPr>
    </w:p>
    <w:p>
      <w:pPr>
        <w:spacing w:line="226" w:lineRule="auto"/>
        <w:rPr>
          <w:rFonts w:ascii="宋体" w:hAnsi="宋体" w:eastAsia="宋体" w:cs="宋体"/>
          <w:sz w:val="27"/>
          <w:szCs w:val="27"/>
        </w:rPr>
      </w:pPr>
    </w:p>
    <w:p>
      <w:pPr>
        <w:spacing w:line="226" w:lineRule="auto"/>
        <w:rPr>
          <w:rFonts w:ascii="宋体" w:hAnsi="宋体" w:eastAsia="宋体" w:cs="宋体"/>
          <w:sz w:val="27"/>
          <w:szCs w:val="27"/>
        </w:rPr>
      </w:pPr>
    </w:p>
    <w:p>
      <w:pPr>
        <w:jc w:val="center"/>
        <w:outlineLvl w:val="0"/>
        <w:rPr>
          <w:rFonts w:hint="eastAsia" w:ascii="楷体_GB2312" w:eastAsia="楷体_GB2312"/>
          <w:sz w:val="44"/>
          <w:szCs w:val="44"/>
        </w:rPr>
      </w:pPr>
      <w:r>
        <w:rPr>
          <w:rFonts w:hint="eastAsia" w:ascii="楷体_GB2312" w:eastAsia="楷体_GB2312"/>
          <w:sz w:val="44"/>
          <w:szCs w:val="44"/>
        </w:rPr>
        <w:t>巴彦淖尔市国库集中收付代理银行</w:t>
      </w:r>
    </w:p>
    <w:p>
      <w:pPr>
        <w:jc w:val="center"/>
        <w:outlineLvl w:val="0"/>
        <w:rPr>
          <w:rFonts w:hint="eastAsia" w:ascii="楷体_GB2312" w:eastAsia="楷体_GB2312"/>
          <w:sz w:val="44"/>
          <w:szCs w:val="44"/>
        </w:rPr>
      </w:pPr>
      <w:r>
        <w:rPr>
          <w:rFonts w:hint="eastAsia" w:ascii="楷体_GB2312" w:eastAsia="楷体_GB2312"/>
          <w:sz w:val="44"/>
          <w:szCs w:val="44"/>
        </w:rPr>
        <w:t>资格认定审批事项服务指南</w:t>
      </w:r>
    </w:p>
    <w:p>
      <w:pPr>
        <w:jc w:val="center"/>
        <w:outlineLvl w:val="0"/>
        <w:rPr>
          <w:rFonts w:hint="default" w:ascii="楷体_GB2312" w:eastAsia="楷体_GB2312"/>
          <w:sz w:val="44"/>
          <w:szCs w:val="44"/>
          <w:lang w:val="en-US" w:eastAsia="zh-CN"/>
        </w:rPr>
      </w:pPr>
      <w:r>
        <w:rPr>
          <w:rFonts w:hint="eastAsia" w:ascii="楷体_GB2312" w:eastAsia="楷体_GB2312"/>
          <w:sz w:val="44"/>
          <w:szCs w:val="44"/>
          <w:lang w:val="en-US" w:eastAsia="zh-CN"/>
        </w:rPr>
        <w:t>(2025版)</w:t>
      </w: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jc w:val="left"/>
        <w:rPr>
          <w:rFonts w:hint="eastAsia" w:ascii="仿宋_GB2312" w:hAnsi="仿宋_GB2312" w:eastAsia="仿宋_GB2312"/>
          <w:sz w:val="28"/>
          <w:szCs w:val="28"/>
        </w:rPr>
      </w:pPr>
    </w:p>
    <w:p>
      <w:pPr>
        <w:spacing w:line="560" w:lineRule="exact"/>
        <w:ind w:firstLine="1506" w:firstLineChars="5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sz w:val="30"/>
          <w:szCs w:val="30"/>
        </w:rPr>
        <w:t>发布日期：</w:t>
      </w:r>
      <w:r>
        <w:rPr>
          <w:rFonts w:hint="eastAsia" w:ascii="仿宋_GB2312" w:hAnsi="仿宋_GB2312" w:eastAsia="仿宋_GB2312" w:cs="仿宋_GB2312"/>
          <w:sz w:val="30"/>
          <w:szCs w:val="30"/>
          <w:highlight w:val="none"/>
        </w:rPr>
        <w:t>202</w:t>
      </w:r>
      <w:r>
        <w:rPr>
          <w:rFonts w:hint="eastAsia" w:ascii="仿宋_GB2312" w:hAnsi="仿宋_GB2312" w:eastAsia="仿宋_GB2312" w:cs="仿宋_GB2312"/>
          <w:sz w:val="30"/>
          <w:szCs w:val="30"/>
          <w:highlight w:val="none"/>
          <w:lang w:eastAsia="zh-CN"/>
        </w:rPr>
        <w:t>5</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10</w:t>
      </w:r>
      <w:r>
        <w:rPr>
          <w:rFonts w:hint="eastAsia" w:ascii="仿宋_GB2312" w:hAnsi="仿宋_GB2312" w:eastAsia="仿宋_GB2312" w:cs="仿宋_GB2312"/>
          <w:sz w:val="30"/>
          <w:szCs w:val="30"/>
          <w:highlight w:val="none"/>
        </w:rPr>
        <w:t>日</w:t>
      </w:r>
    </w:p>
    <w:p>
      <w:pPr>
        <w:spacing w:line="560" w:lineRule="exact"/>
        <w:ind w:firstLine="1506" w:firstLineChars="50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实施日期：</w:t>
      </w:r>
      <w:r>
        <w:rPr>
          <w:rFonts w:hint="eastAsia" w:ascii="仿宋_GB2312" w:hAnsi="仿宋_GB2312" w:eastAsia="仿宋_GB2312" w:cs="仿宋_GB2312"/>
          <w:sz w:val="30"/>
          <w:szCs w:val="30"/>
        </w:rPr>
        <w:t>自发布之日起</w:t>
      </w:r>
    </w:p>
    <w:p>
      <w:pPr>
        <w:spacing w:line="560" w:lineRule="exact"/>
        <w:ind w:firstLine="1506" w:firstLineChars="50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发布机构：</w:t>
      </w:r>
      <w:r>
        <w:rPr>
          <w:rFonts w:hint="eastAsia" w:ascii="仿宋_GB2312" w:hAnsi="仿宋_GB2312" w:eastAsia="仿宋_GB2312" w:cs="仿宋_GB2312"/>
          <w:sz w:val="30"/>
          <w:szCs w:val="30"/>
        </w:rPr>
        <w:t>中国人民银行巴彦淖尔市分行</w:t>
      </w:r>
    </w:p>
    <w:p>
      <w:pPr>
        <w:spacing w:line="226" w:lineRule="auto"/>
        <w:ind w:firstLine="1350" w:firstLineChars="500"/>
        <w:rPr>
          <w:rFonts w:ascii="宋体" w:hAnsi="宋体" w:eastAsia="宋体" w:cs="宋体"/>
          <w:sz w:val="27"/>
          <w:szCs w:val="27"/>
        </w:rPr>
        <w:sectPr>
          <w:headerReference r:id="rId4" w:type="first"/>
          <w:footerReference r:id="rId6" w:type="first"/>
          <w:footerReference r:id="rId5" w:type="default"/>
          <w:pgSz w:w="11905" w:h="16840"/>
          <w:pgMar w:top="1440" w:right="1803" w:bottom="1440" w:left="1803" w:header="850" w:footer="992" w:gutter="0"/>
          <w:pgNumType w:fmt="decimal"/>
          <w:cols w:space="720" w:num="1"/>
          <w:titlePg/>
          <w:rtlGutter w:val="0"/>
          <w:docGrid w:type="lines" w:linePitch="317" w:charSpace="0"/>
        </w:sectPr>
      </w:pPr>
    </w:p>
    <w:p>
      <w:pPr>
        <w:widowControl w:val="0"/>
        <w:wordWrap/>
        <w:adjustRightInd/>
        <w:snapToGrid/>
        <w:spacing w:line="560" w:lineRule="exact"/>
        <w:jc w:val="center"/>
        <w:textAlignment w:val="auto"/>
        <w:outlineLvl w:val="9"/>
        <w:rPr>
          <w:rFonts w:hint="eastAsia" w:ascii="宋体" w:hAnsi="宋体" w:eastAsia="宋体" w:cs="宋体"/>
          <w:b/>
          <w:bCs/>
          <w:kern w:val="2"/>
          <w:sz w:val="36"/>
          <w:szCs w:val="36"/>
          <w:lang w:eastAsia="zh-CN"/>
        </w:rPr>
      </w:pPr>
    </w:p>
    <w:p>
      <w:pPr>
        <w:widowControl w:val="0"/>
        <w:wordWrap/>
        <w:adjustRightInd/>
        <w:snapToGrid/>
        <w:spacing w:line="560" w:lineRule="exact"/>
        <w:jc w:val="center"/>
        <w:textAlignment w:val="auto"/>
        <w:outlineLvl w:val="1"/>
        <w:rPr>
          <w:rFonts w:hint="eastAsia" w:ascii="宋体" w:hAnsi="宋体" w:eastAsia="宋体" w:cs="宋体"/>
          <w:b/>
          <w:bCs/>
          <w:kern w:val="2"/>
          <w:sz w:val="36"/>
          <w:szCs w:val="36"/>
          <w:lang w:eastAsia="zh-CN"/>
        </w:rPr>
      </w:pPr>
      <w:r>
        <w:rPr>
          <w:rFonts w:hint="eastAsia" w:ascii="宋体" w:hAnsi="宋体" w:eastAsia="宋体" w:cs="宋体"/>
          <w:b/>
          <w:bCs/>
          <w:kern w:val="2"/>
          <w:sz w:val="36"/>
          <w:szCs w:val="36"/>
          <w:lang w:eastAsia="zh-CN"/>
        </w:rPr>
        <w:t>巴彦淖尔市国库集中收付代理银行资格认定</w:t>
      </w:r>
    </w:p>
    <w:p>
      <w:pPr>
        <w:widowControl w:val="0"/>
        <w:wordWrap/>
        <w:adjustRightInd/>
        <w:snapToGrid/>
        <w:spacing w:line="560" w:lineRule="exact"/>
        <w:jc w:val="center"/>
        <w:textAlignment w:val="auto"/>
        <w:outlineLvl w:val="1"/>
        <w:rPr>
          <w:rFonts w:hint="eastAsia" w:ascii="宋体" w:hAnsi="宋体" w:eastAsia="宋体" w:cs="宋体"/>
          <w:b/>
          <w:bCs/>
          <w:kern w:val="2"/>
          <w:sz w:val="36"/>
          <w:szCs w:val="36"/>
          <w:lang w:eastAsia="zh-CN"/>
        </w:rPr>
      </w:pPr>
      <w:r>
        <w:rPr>
          <w:rFonts w:hint="eastAsia" w:ascii="宋体" w:hAnsi="宋体" w:eastAsia="宋体" w:cs="宋体"/>
          <w:b/>
          <w:bCs/>
          <w:kern w:val="2"/>
          <w:sz w:val="36"/>
          <w:szCs w:val="36"/>
          <w:lang w:eastAsia="zh-CN"/>
        </w:rPr>
        <w:t>审批事项服务指南</w:t>
      </w:r>
    </w:p>
    <w:p>
      <w:pPr>
        <w:pStyle w:val="2"/>
        <w:widowControl/>
        <w:kinsoku w:val="0"/>
        <w:wordWrap/>
        <w:autoSpaceDE w:val="0"/>
        <w:autoSpaceDN w:val="0"/>
        <w:adjustRightInd w:val="0"/>
        <w:snapToGrid w:val="0"/>
        <w:spacing w:line="560" w:lineRule="exact"/>
        <w:textAlignment w:val="baseline"/>
        <w:outlineLvl w:val="9"/>
        <w:rPr>
          <w:rFonts w:hint="eastAsia" w:ascii="仿宋_GB2312" w:hAnsi="仿宋_GB2312" w:eastAsia="仿宋_GB2312" w:cs="仿宋_GB2312"/>
          <w:sz w:val="32"/>
          <w:szCs w:val="32"/>
        </w:rPr>
      </w:pPr>
    </w:p>
    <w:p>
      <w:pPr>
        <w:pStyle w:val="2"/>
        <w:widowControl/>
        <w:kinsoku w:val="0"/>
        <w:wordWrap/>
        <w:autoSpaceDE w:val="0"/>
        <w:autoSpaceDN w:val="0"/>
        <w:adjustRightInd w:val="0"/>
        <w:snapToGrid w:val="0"/>
        <w:spacing w:line="560" w:lineRule="exact"/>
        <w:textAlignment w:val="baseline"/>
        <w:outlineLvl w:val="9"/>
        <w:rPr>
          <w:rFonts w:hint="eastAsia" w:ascii="仿宋_GB2312" w:hAnsi="仿宋_GB2312" w:eastAsia="仿宋_GB2312" w:cs="仿宋_GB2312"/>
          <w:sz w:val="32"/>
          <w:szCs w:val="32"/>
        </w:rPr>
      </w:pPr>
    </w:p>
    <w:p>
      <w:pPr>
        <w:pStyle w:val="2"/>
        <w:widowControl/>
        <w:numPr>
          <w:ilvl w:val="0"/>
          <w:numId w:val="1"/>
        </w:numPr>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rPr>
        <w:t>适用范围</w:t>
      </w:r>
    </w:p>
    <w:p>
      <w:pPr>
        <w:pStyle w:val="2"/>
        <w:widowControl/>
        <w:numPr>
          <w:numId w:val="0"/>
        </w:numPr>
        <w:kinsoku w:val="0"/>
        <w:wordWrap/>
        <w:autoSpaceDE w:val="0"/>
        <w:autoSpaceDN w:val="0"/>
        <w:adjustRightInd w:val="0"/>
        <w:snapToGrid w:val="0"/>
        <w:spacing w:line="560" w:lineRule="exact"/>
        <w:ind w:right="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本指南适用于巴彦淖尔市</w:t>
      </w:r>
      <w:r>
        <w:rPr>
          <w:rFonts w:hint="eastAsia" w:ascii="仿宋_GB2312" w:hAnsi="黑体" w:eastAsia="仿宋_GB2312"/>
          <w:sz w:val="32"/>
          <w:szCs w:val="32"/>
        </w:rPr>
        <w:t>辖内银行业金融机构申请</w:t>
      </w:r>
      <w:r>
        <w:rPr>
          <w:rFonts w:hint="eastAsia" w:ascii="仿宋_GB2312" w:hAnsi="仿宋_GB2312" w:eastAsia="仿宋_GB2312" w:cs="仿宋_GB2312"/>
          <w:sz w:val="32"/>
          <w:szCs w:val="32"/>
        </w:rPr>
        <w:t>国库</w:t>
      </w:r>
      <w:r>
        <w:rPr>
          <w:rFonts w:hint="eastAsia" w:ascii="仿宋_GB2312" w:hAnsi="黑体" w:eastAsia="仿宋_GB2312"/>
          <w:sz w:val="32"/>
          <w:szCs w:val="32"/>
        </w:rPr>
        <w:t>集中收付代理银行资格认定审批</w:t>
      </w:r>
      <w:r>
        <w:rPr>
          <w:rFonts w:hint="eastAsia" w:ascii="仿宋_GB2312" w:hAnsi="仿宋_GB2312" w:eastAsia="仿宋_GB2312" w:cs="仿宋_GB2312"/>
          <w:sz w:val="32"/>
          <w:szCs w:val="32"/>
        </w:rPr>
        <w:t>。</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rPr>
        <w:t>二、事项审查类型</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前审后批。</w:t>
      </w:r>
    </w:p>
    <w:p>
      <w:pPr>
        <w:pStyle w:val="2"/>
        <w:widowControl/>
        <w:numPr>
          <w:ilvl w:val="0"/>
          <w:numId w:val="2"/>
        </w:numPr>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rPr>
        <w:t>审批依据</w:t>
      </w:r>
    </w:p>
    <w:p>
      <w:pPr>
        <w:widowControl w:val="0"/>
        <w:numPr>
          <w:numId w:val="0"/>
        </w:numPr>
        <w:wordWrap/>
        <w:adjustRightInd/>
        <w:snapToGrid/>
        <w:spacing w:line="560" w:lineRule="exact"/>
        <w:ind w:right="0" w:firstLine="640" w:firstLineChars="200"/>
        <w:jc w:val="both"/>
        <w:textAlignment w:val="auto"/>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《国务院对确需保留的行政审批项目设定行政许可的决定》（国务院令第412号）、《国务院办公厅关于全面实行行政许可事项清单管理的通知》（国办发〔2022〕2 号）、</w:t>
      </w:r>
      <w:r>
        <w:rPr>
          <w:rFonts w:hint="eastAsia" w:ascii="仿宋_GB2312" w:hAnsi="黑体" w:eastAsia="仿宋_GB2312" w:cs="黑体"/>
          <w:kern w:val="2"/>
          <w:sz w:val="32"/>
          <w:szCs w:val="32"/>
          <w:highlight w:val="none"/>
          <w:lang w:eastAsia="zh-CN"/>
        </w:rPr>
        <w:t>《法律、行政法规、国务院决定设定的行政许可事项清单（2025年5月6日）》、</w:t>
      </w:r>
      <w:r>
        <w:rPr>
          <w:rFonts w:hint="eastAsia" w:ascii="仿宋_GB2312" w:hAnsi="黑体" w:eastAsia="仿宋_GB2312" w:cs="黑体"/>
          <w:kern w:val="2"/>
          <w:sz w:val="32"/>
          <w:szCs w:val="32"/>
          <w:lang w:eastAsia="zh-CN"/>
        </w:rPr>
        <w:t>《中国人民银行行政许可实施办法》（中国人民行令〔2020〕第1号）等。</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受理</w:t>
      </w:r>
      <w:r>
        <w:rPr>
          <w:rFonts w:hint="eastAsia" w:ascii="黑体" w:hAnsi="黑体" w:eastAsia="黑体" w:cs="黑体"/>
          <w:sz w:val="32"/>
          <w:szCs w:val="32"/>
        </w:rPr>
        <w:t>机构</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中国人民银行巴彦淖尔市分行国库科。</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审核</w:t>
      </w:r>
      <w:r>
        <w:rPr>
          <w:rFonts w:hint="eastAsia" w:ascii="黑体" w:hAnsi="黑体" w:eastAsia="黑体" w:cs="黑体"/>
          <w:sz w:val="32"/>
          <w:szCs w:val="32"/>
        </w:rPr>
        <w:t>机构</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中国人民银行巴彦淖尔市分行国库科。</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决定</w:t>
      </w:r>
      <w:r>
        <w:rPr>
          <w:rFonts w:hint="eastAsia" w:ascii="黑体" w:hAnsi="黑体" w:eastAsia="黑体" w:cs="黑体"/>
          <w:sz w:val="32"/>
          <w:szCs w:val="32"/>
        </w:rPr>
        <w:t>机构</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中国人民银行巴彦淖尔市分行。</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、数量限制</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无数量限制。</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、申请条件</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（一）申请人条件</w:t>
      </w:r>
    </w:p>
    <w:p>
      <w:pPr>
        <w:widowControl w:val="0"/>
        <w:adjustRightInd/>
        <w:snapToGrid/>
        <w:spacing w:line="560" w:lineRule="exact"/>
        <w:ind w:firstLine="600"/>
        <w:jc w:val="both"/>
        <w:textAlignment w:val="auto"/>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1、依法持有</w:t>
      </w:r>
      <w:r>
        <w:rPr>
          <w:rFonts w:hint="eastAsia" w:ascii="仿宋_GB2312" w:hAnsi="黑体" w:eastAsia="仿宋_GB2312" w:cs="黑体"/>
          <w:kern w:val="2"/>
          <w:sz w:val="32"/>
          <w:szCs w:val="32"/>
          <w:lang w:val="en-US" w:eastAsia="zh-CN"/>
        </w:rPr>
        <w:t>有效</w:t>
      </w:r>
      <w:r>
        <w:rPr>
          <w:rFonts w:hint="eastAsia" w:ascii="仿宋_GB2312" w:hAnsi="黑体" w:eastAsia="仿宋_GB2312" w:cs="黑体"/>
          <w:kern w:val="2"/>
          <w:sz w:val="32"/>
          <w:szCs w:val="32"/>
          <w:lang w:eastAsia="zh-CN"/>
        </w:rPr>
        <w:t>《金融许可证》和《企业法人营业执照》；</w:t>
      </w:r>
    </w:p>
    <w:p>
      <w:pPr>
        <w:widowControl w:val="0"/>
        <w:adjustRightInd/>
        <w:snapToGrid/>
        <w:spacing w:line="560" w:lineRule="exact"/>
        <w:ind w:firstLine="600"/>
        <w:jc w:val="both"/>
        <w:textAlignment w:val="auto"/>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2、资金实力雄厚，资产状况良好，具有较强的风险控制能力和较好的经营业绩；</w:t>
      </w:r>
    </w:p>
    <w:p>
      <w:pPr>
        <w:widowControl w:val="0"/>
        <w:adjustRightInd/>
        <w:snapToGrid/>
        <w:spacing w:line="560" w:lineRule="exact"/>
        <w:ind w:firstLine="600"/>
        <w:jc w:val="both"/>
        <w:textAlignment w:val="auto"/>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3、申请代理业务属地设有分支机构（能够办理对公业务）,且经营网点数量与分布能够满足代理业务需要；</w:t>
      </w:r>
    </w:p>
    <w:p>
      <w:pPr>
        <w:widowControl w:val="0"/>
        <w:adjustRightInd/>
        <w:snapToGrid/>
        <w:spacing w:line="560" w:lineRule="exact"/>
        <w:ind w:firstLine="600"/>
        <w:jc w:val="both"/>
        <w:textAlignment w:val="auto"/>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4、人员配备能够满足代理业务需要，业务人员应当熟悉</w:t>
      </w:r>
      <w:r>
        <w:rPr>
          <w:rFonts w:hint="eastAsia" w:ascii="仿宋_GB2312" w:hAnsi="黑体" w:eastAsia="仿宋_GB2312" w:cs="黑体"/>
          <w:kern w:val="2"/>
          <w:sz w:val="32"/>
          <w:szCs w:val="32"/>
          <w:lang w:val="en-US" w:eastAsia="zh-CN"/>
        </w:rPr>
        <w:t>财政、</w:t>
      </w:r>
      <w:r>
        <w:rPr>
          <w:rFonts w:hint="eastAsia" w:ascii="仿宋_GB2312" w:hAnsi="黑体" w:eastAsia="仿宋_GB2312" w:cs="黑体"/>
          <w:kern w:val="2"/>
          <w:sz w:val="32"/>
          <w:szCs w:val="32"/>
          <w:lang w:eastAsia="zh-CN"/>
        </w:rPr>
        <w:t>国库相关制度规定，具备办理国库集中收付业务所需的专业能力；</w:t>
      </w:r>
    </w:p>
    <w:p>
      <w:pPr>
        <w:widowControl w:val="0"/>
        <w:adjustRightInd/>
        <w:snapToGrid/>
        <w:spacing w:line="560" w:lineRule="exact"/>
        <w:ind w:firstLine="600"/>
        <w:jc w:val="both"/>
        <w:textAlignment w:val="auto"/>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5、具备办理国库集中收付业务所需的技术条件, 资金汇划系统能够满足资金实时到账要求，相关业务信息系统和内部网络安全、高效、稳定、可靠，能够及时、全面、准确地记录并反映所代理业务信息；</w:t>
      </w:r>
    </w:p>
    <w:p>
      <w:pPr>
        <w:widowControl w:val="0"/>
        <w:adjustRightInd/>
        <w:snapToGrid/>
        <w:spacing w:line="560" w:lineRule="exact"/>
        <w:ind w:firstLine="600"/>
        <w:jc w:val="both"/>
        <w:textAlignment w:val="auto"/>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6、内部管理规范，内控制度健全，具有严格的操作规程和保密措施；</w:t>
      </w:r>
    </w:p>
    <w:p>
      <w:pPr>
        <w:widowControl w:val="0"/>
        <w:adjustRightInd/>
        <w:snapToGrid/>
        <w:spacing w:line="560" w:lineRule="exact"/>
        <w:ind w:firstLine="600"/>
        <w:jc w:val="both"/>
        <w:textAlignment w:val="auto"/>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7、能够持续合规经营，申请前两个年度未涉及重大违法违规行为、被采取限制业务活动、责令停业整顿、被接管等影响资格认定的事项；</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8、中国人民银行巴彦淖尔市分行规定的其他条件。</w:t>
      </w:r>
    </w:p>
    <w:p>
      <w:pPr>
        <w:spacing w:line="560" w:lineRule="exact"/>
        <w:ind w:firstLine="600"/>
        <w:outlineLvl w:val="1"/>
        <w:rPr>
          <w:rFonts w:ascii="楷体_GB2312" w:hAnsi="黑体" w:eastAsia="楷体_GB2312"/>
          <w:sz w:val="32"/>
          <w:szCs w:val="32"/>
        </w:rPr>
      </w:pPr>
      <w:r>
        <w:rPr>
          <w:rFonts w:hint="eastAsia" w:ascii="楷体_GB2312" w:hAnsi="黑体" w:eastAsia="楷体_GB2312"/>
          <w:sz w:val="32"/>
          <w:szCs w:val="32"/>
        </w:rPr>
        <w:t>（二）批准的情形</w:t>
      </w:r>
    </w:p>
    <w:p>
      <w:pPr>
        <w:spacing w:line="560" w:lineRule="exact"/>
        <w:ind w:firstLine="600"/>
        <w:rPr>
          <w:rFonts w:ascii="仿宋_GB2312" w:hAnsi="黑体" w:eastAsia="仿宋_GB2312"/>
          <w:sz w:val="32"/>
          <w:szCs w:val="32"/>
        </w:rPr>
      </w:pPr>
      <w:r>
        <w:rPr>
          <w:rFonts w:hint="eastAsia" w:ascii="仿宋_GB2312" w:hAnsi="仿宋_GB2312" w:eastAsia="仿宋_GB2312" w:cs="仿宋_GB2312"/>
          <w:sz w:val="32"/>
          <w:szCs w:val="32"/>
        </w:rPr>
        <w:t>中国人民银行巴彦淖尔市分行</w:t>
      </w:r>
      <w:r>
        <w:rPr>
          <w:rFonts w:hint="eastAsia" w:ascii="仿宋_GB2312" w:hAnsi="黑体" w:eastAsia="仿宋_GB2312"/>
          <w:sz w:val="32"/>
          <w:szCs w:val="32"/>
        </w:rPr>
        <w:t>应对提交申请材料进行严格审</w:t>
      </w:r>
      <w:r>
        <w:rPr>
          <w:rFonts w:hint="eastAsia" w:ascii="仿宋_GB2312" w:hAnsi="黑体" w:eastAsia="仿宋_GB2312"/>
          <w:sz w:val="32"/>
          <w:szCs w:val="32"/>
          <w:lang w:val="en-US" w:eastAsia="zh-CN"/>
        </w:rPr>
        <w:t>核</w:t>
      </w:r>
      <w:r>
        <w:rPr>
          <w:rFonts w:hint="eastAsia" w:ascii="仿宋_GB2312" w:hAnsi="黑体" w:eastAsia="仿宋_GB2312"/>
          <w:sz w:val="32"/>
          <w:szCs w:val="32"/>
        </w:rPr>
        <w:t>,按照相关制度规定及综合评价办法进行打分，综合评价分值超过60分（含）的申请人，为资格认定合格，颁发准予</w:t>
      </w:r>
      <w:r>
        <w:rPr>
          <w:rFonts w:hint="eastAsia" w:ascii="仿宋_GB2312" w:hAnsi="黑体" w:eastAsia="仿宋_GB2312"/>
          <w:sz w:val="32"/>
          <w:szCs w:val="32"/>
          <w:lang w:val="en-US" w:eastAsia="zh-CN"/>
        </w:rPr>
        <w:t>行政</w:t>
      </w:r>
      <w:r>
        <w:rPr>
          <w:rFonts w:hint="eastAsia" w:ascii="仿宋_GB2312" w:hAnsi="黑体" w:eastAsia="仿宋_GB2312"/>
          <w:sz w:val="32"/>
          <w:szCs w:val="32"/>
        </w:rPr>
        <w:t>许可决定书。</w:t>
      </w:r>
    </w:p>
    <w:p>
      <w:pPr>
        <w:spacing w:line="560" w:lineRule="exact"/>
        <w:ind w:firstLine="600"/>
        <w:rPr>
          <w:rFonts w:ascii="仿宋_GB2312" w:hAnsi="黑体" w:eastAsia="仿宋_GB2312"/>
          <w:sz w:val="32"/>
          <w:szCs w:val="32"/>
        </w:rPr>
      </w:pPr>
      <w:r>
        <w:rPr>
          <w:rFonts w:hint="eastAsia" w:ascii="仿宋_GB2312" w:hAnsi="黑体" w:eastAsia="仿宋_GB2312"/>
          <w:sz w:val="32"/>
          <w:szCs w:val="32"/>
        </w:rPr>
        <w:t>综合评价办法中评定指标包括定量指标和定性指标两类</w:t>
      </w:r>
      <w:r>
        <w:rPr>
          <w:rFonts w:hint="eastAsia" w:ascii="仿宋_GB2312" w:hAnsi="黑体" w:eastAsia="仿宋_GB2312"/>
          <w:sz w:val="32"/>
          <w:szCs w:val="32"/>
          <w:lang w:eastAsia="zh-CN"/>
        </w:rPr>
        <w:t>：</w:t>
      </w:r>
      <w:r>
        <w:rPr>
          <w:rFonts w:hint="eastAsia" w:ascii="仿宋_GB2312" w:hAnsi="黑体" w:eastAsia="仿宋_GB2312"/>
          <w:sz w:val="32"/>
          <w:szCs w:val="32"/>
        </w:rPr>
        <w:t>定量指标考虑申请人的资金安全性、流动性、效益性以及机构网点、人员配备等情况；定性指标考虑申请人央行金融机构评级结果</w:t>
      </w:r>
      <w:r>
        <w:rPr>
          <w:rFonts w:hint="eastAsia" w:ascii="仿宋_GB2312" w:hAnsi="黑体" w:eastAsia="仿宋_GB2312"/>
          <w:sz w:val="32"/>
          <w:szCs w:val="32"/>
          <w:lang w:eastAsia="zh-CN"/>
        </w:rPr>
        <w:t>、</w:t>
      </w:r>
      <w:r>
        <w:rPr>
          <w:rFonts w:hint="eastAsia" w:ascii="仿宋_GB2312" w:hAnsi="黑体" w:eastAsia="仿宋_GB2312"/>
          <w:sz w:val="32"/>
          <w:szCs w:val="32"/>
        </w:rPr>
        <w:t>信息系统建设、内控管理能力、申请人在资金支付结算</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代理国库</w:t>
      </w:r>
      <w:r>
        <w:rPr>
          <w:rFonts w:hint="eastAsia" w:ascii="仿宋_GB2312" w:hAnsi="黑体" w:eastAsia="仿宋_GB2312"/>
          <w:sz w:val="32"/>
          <w:szCs w:val="32"/>
        </w:rPr>
        <w:t>方面案件发生及查处情况、外部安全综合评价、服务承诺、申请资料质量等。</w:t>
      </w:r>
    </w:p>
    <w:p>
      <w:pPr>
        <w:spacing w:line="560" w:lineRule="exact"/>
        <w:ind w:firstLine="600"/>
        <w:outlineLvl w:val="1"/>
        <w:rPr>
          <w:rFonts w:ascii="楷体_GB2312" w:hAnsi="黑体" w:eastAsia="楷体_GB2312"/>
          <w:sz w:val="32"/>
          <w:szCs w:val="32"/>
        </w:rPr>
      </w:pPr>
      <w:r>
        <w:rPr>
          <w:rFonts w:hint="eastAsia" w:ascii="楷体_GB2312" w:hAnsi="黑体" w:eastAsia="楷体_GB2312"/>
          <w:sz w:val="32"/>
          <w:szCs w:val="32"/>
        </w:rPr>
        <w:t>（三）不予批准的情形</w:t>
      </w:r>
    </w:p>
    <w:p>
      <w:pPr>
        <w:spacing w:line="560" w:lineRule="exact"/>
        <w:ind w:firstLine="600"/>
        <w:rPr>
          <w:rFonts w:ascii="仿宋_GB2312" w:hAnsi="黑体" w:eastAsia="仿宋_GB2312"/>
          <w:sz w:val="32"/>
          <w:szCs w:val="32"/>
        </w:rPr>
      </w:pPr>
      <w:r>
        <w:rPr>
          <w:rFonts w:hint="eastAsia" w:ascii="仿宋_GB2312" w:hAnsi="黑体" w:eastAsia="仿宋_GB2312"/>
          <w:sz w:val="32"/>
          <w:szCs w:val="32"/>
        </w:rPr>
        <w:t>经审查发现存在不符合申请条件的，综合评价分值低于60分的申请人，为资格认定不合格，颁发不予行政许可决定书。</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申请材料</w:t>
      </w:r>
    </w:p>
    <w:tbl>
      <w:tblPr>
        <w:tblStyle w:val="7"/>
        <w:tblW w:w="10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01"/>
        <w:gridCol w:w="567"/>
        <w:gridCol w:w="481"/>
        <w:gridCol w:w="794"/>
        <w:gridCol w:w="4050"/>
        <w:gridCol w:w="1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57" w:type="dxa"/>
            <w:vAlign w:val="center"/>
          </w:tcPr>
          <w:p>
            <w:pPr>
              <w:spacing w:line="300" w:lineRule="exact"/>
              <w:jc w:val="center"/>
              <w:rPr>
                <w:rFonts w:ascii="宋体" w:hAnsi="宋体"/>
                <w:b/>
                <w:sz w:val="24"/>
                <w:szCs w:val="24"/>
              </w:rPr>
            </w:pPr>
            <w:r>
              <w:rPr>
                <w:rFonts w:hint="eastAsia" w:ascii="宋体" w:hAnsi="宋体"/>
                <w:b/>
                <w:sz w:val="24"/>
                <w:szCs w:val="24"/>
              </w:rPr>
              <w:t>序号</w:t>
            </w:r>
          </w:p>
        </w:tc>
        <w:tc>
          <w:tcPr>
            <w:tcW w:w="1901" w:type="dxa"/>
            <w:vAlign w:val="center"/>
          </w:tcPr>
          <w:p>
            <w:pPr>
              <w:spacing w:line="300" w:lineRule="exact"/>
              <w:jc w:val="center"/>
              <w:rPr>
                <w:rFonts w:ascii="宋体" w:hAnsi="宋体"/>
                <w:b/>
                <w:sz w:val="24"/>
                <w:szCs w:val="24"/>
              </w:rPr>
            </w:pPr>
            <w:r>
              <w:rPr>
                <w:rFonts w:hint="eastAsia" w:ascii="宋体" w:hAnsi="宋体"/>
                <w:b/>
                <w:sz w:val="24"/>
                <w:szCs w:val="24"/>
              </w:rPr>
              <w:t>提交资料</w:t>
            </w:r>
          </w:p>
          <w:p>
            <w:pPr>
              <w:spacing w:line="300" w:lineRule="exact"/>
              <w:jc w:val="center"/>
              <w:rPr>
                <w:rFonts w:ascii="宋体" w:hAnsi="宋体"/>
                <w:b/>
                <w:sz w:val="24"/>
                <w:szCs w:val="24"/>
              </w:rPr>
            </w:pPr>
            <w:r>
              <w:rPr>
                <w:rFonts w:hint="eastAsia" w:ascii="宋体" w:hAnsi="宋体"/>
                <w:b/>
                <w:sz w:val="24"/>
                <w:szCs w:val="24"/>
              </w:rPr>
              <w:t>名称</w:t>
            </w:r>
          </w:p>
        </w:tc>
        <w:tc>
          <w:tcPr>
            <w:tcW w:w="567" w:type="dxa"/>
            <w:vAlign w:val="center"/>
          </w:tcPr>
          <w:p>
            <w:pPr>
              <w:spacing w:line="300" w:lineRule="exact"/>
              <w:jc w:val="center"/>
              <w:rPr>
                <w:rFonts w:ascii="宋体" w:hAnsi="宋体"/>
                <w:b/>
                <w:sz w:val="24"/>
                <w:szCs w:val="24"/>
              </w:rPr>
            </w:pPr>
            <w:r>
              <w:rPr>
                <w:rFonts w:hint="eastAsia" w:ascii="宋体" w:hAnsi="宋体"/>
                <w:b/>
                <w:sz w:val="24"/>
                <w:szCs w:val="24"/>
              </w:rPr>
              <w:t>原件/复印件</w:t>
            </w:r>
          </w:p>
        </w:tc>
        <w:tc>
          <w:tcPr>
            <w:tcW w:w="481" w:type="dxa"/>
            <w:vAlign w:val="center"/>
          </w:tcPr>
          <w:p>
            <w:pPr>
              <w:spacing w:line="300" w:lineRule="exact"/>
              <w:jc w:val="center"/>
              <w:rPr>
                <w:rFonts w:ascii="宋体" w:hAnsi="宋体"/>
                <w:b/>
                <w:sz w:val="24"/>
                <w:szCs w:val="24"/>
              </w:rPr>
            </w:pPr>
            <w:r>
              <w:rPr>
                <w:rFonts w:hint="eastAsia" w:ascii="宋体" w:hAnsi="宋体"/>
                <w:b/>
                <w:sz w:val="24"/>
                <w:szCs w:val="24"/>
              </w:rPr>
              <w:t>份数</w:t>
            </w:r>
          </w:p>
        </w:tc>
        <w:tc>
          <w:tcPr>
            <w:tcW w:w="794" w:type="dxa"/>
            <w:vAlign w:val="center"/>
          </w:tcPr>
          <w:p>
            <w:pPr>
              <w:spacing w:line="300" w:lineRule="exact"/>
              <w:jc w:val="center"/>
              <w:rPr>
                <w:rFonts w:ascii="宋体" w:hAnsi="宋体"/>
                <w:b/>
                <w:sz w:val="24"/>
                <w:szCs w:val="24"/>
              </w:rPr>
            </w:pPr>
            <w:r>
              <w:rPr>
                <w:rFonts w:hint="eastAsia" w:ascii="宋体" w:hAnsi="宋体"/>
                <w:b/>
                <w:sz w:val="24"/>
                <w:szCs w:val="24"/>
              </w:rPr>
              <w:t>形式</w:t>
            </w:r>
          </w:p>
        </w:tc>
        <w:tc>
          <w:tcPr>
            <w:tcW w:w="4050" w:type="dxa"/>
            <w:vAlign w:val="center"/>
          </w:tcPr>
          <w:p>
            <w:pPr>
              <w:spacing w:line="300" w:lineRule="exact"/>
              <w:jc w:val="center"/>
              <w:rPr>
                <w:rFonts w:ascii="宋体" w:hAnsi="宋体"/>
                <w:b/>
                <w:sz w:val="24"/>
                <w:szCs w:val="24"/>
              </w:rPr>
            </w:pPr>
            <w:r>
              <w:rPr>
                <w:rFonts w:hint="eastAsia" w:ascii="宋体" w:hAnsi="宋体"/>
                <w:b/>
                <w:sz w:val="24"/>
                <w:szCs w:val="24"/>
              </w:rPr>
              <w:t>要求</w:t>
            </w:r>
          </w:p>
        </w:tc>
        <w:tc>
          <w:tcPr>
            <w:tcW w:w="1814" w:type="dxa"/>
            <w:vAlign w:val="center"/>
          </w:tcPr>
          <w:p>
            <w:pPr>
              <w:spacing w:line="300" w:lineRule="exact"/>
              <w:jc w:val="center"/>
              <w:rPr>
                <w:rFonts w:ascii="宋体" w:hAnsi="宋体"/>
                <w:b/>
                <w:sz w:val="24"/>
                <w:szCs w:val="24"/>
              </w:rPr>
            </w:pPr>
            <w:r>
              <w:rPr>
                <w:rFonts w:hint="eastAsia" w:ascii="宋体" w:hAnsi="宋体"/>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1901" w:type="dxa"/>
            <w:vAlign w:val="center"/>
          </w:tcPr>
          <w:p>
            <w:pPr>
              <w:spacing w:line="300" w:lineRule="exact"/>
              <w:jc w:val="center"/>
              <w:rPr>
                <w:rFonts w:ascii="宋体" w:hAnsi="宋体"/>
                <w:sz w:val="24"/>
                <w:szCs w:val="24"/>
              </w:rPr>
            </w:pPr>
            <w:r>
              <w:rPr>
                <w:rFonts w:hint="eastAsia" w:ascii="宋体" w:hAnsi="宋体"/>
                <w:sz w:val="24"/>
                <w:szCs w:val="24"/>
                <w:lang w:val="en-US" w:eastAsia="zh-CN"/>
              </w:rPr>
              <w:t>国库集中收付代理银行资格认定</w:t>
            </w:r>
            <w:r>
              <w:rPr>
                <w:rFonts w:hint="eastAsia" w:ascii="宋体" w:hAnsi="宋体"/>
                <w:sz w:val="24"/>
                <w:szCs w:val="24"/>
              </w:rPr>
              <w:t>申请表</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原件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r>
              <w:rPr>
                <w:rFonts w:hint="eastAsia" w:ascii="宋体" w:hAnsi="宋体"/>
                <w:sz w:val="24"/>
                <w:szCs w:val="24"/>
              </w:rPr>
              <w:t>见申请材料示范文本1。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2</w:t>
            </w:r>
          </w:p>
        </w:tc>
        <w:tc>
          <w:tcPr>
            <w:tcW w:w="1901" w:type="dxa"/>
            <w:vAlign w:val="center"/>
          </w:tcPr>
          <w:p>
            <w:pPr>
              <w:spacing w:line="300" w:lineRule="exact"/>
              <w:jc w:val="center"/>
              <w:rPr>
                <w:rFonts w:ascii="宋体" w:hAnsi="宋体"/>
                <w:sz w:val="24"/>
                <w:szCs w:val="24"/>
              </w:rPr>
            </w:pPr>
            <w:r>
              <w:rPr>
                <w:rFonts w:hint="eastAsia" w:ascii="宋体" w:hAnsi="宋体"/>
                <w:sz w:val="24"/>
                <w:szCs w:val="24"/>
                <w:lang w:val="en-US" w:eastAsia="zh-CN"/>
              </w:rPr>
              <w:t>国库集中收付代理银行资格认定</w:t>
            </w:r>
            <w:r>
              <w:rPr>
                <w:rFonts w:hint="eastAsia" w:ascii="宋体" w:hAnsi="宋体"/>
                <w:sz w:val="24"/>
                <w:szCs w:val="24"/>
              </w:rPr>
              <w:t>申请书</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原件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spacing w:line="300" w:lineRule="exact"/>
              <w:jc w:val="center"/>
              <w:rPr>
                <w:rFonts w:ascii="宋体" w:hAnsi="宋体"/>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申请书内容包括申请机构总行前十大股东控股情况（以认定通知落款日期为准）、申请机构的部门设置分工、主管部门职责</w:t>
            </w:r>
            <w:r>
              <w:rPr>
                <w:rFonts w:hint="eastAsia" w:ascii="宋体" w:hAnsi="宋体" w:eastAsia="宋体"/>
                <w:sz w:val="24"/>
                <w:szCs w:val="24"/>
                <w:lang w:eastAsia="zh-CN"/>
              </w:rPr>
              <w:t>、岗位职责、</w:t>
            </w:r>
            <w:r>
              <w:rPr>
                <w:rFonts w:hint="eastAsia" w:ascii="宋体" w:hAnsi="宋体"/>
                <w:sz w:val="24"/>
                <w:szCs w:val="24"/>
              </w:rPr>
              <w:t>人员配备、</w:t>
            </w:r>
            <w:r>
              <w:rPr>
                <w:rFonts w:hint="eastAsia" w:ascii="宋体" w:hAnsi="宋体"/>
                <w:sz w:val="24"/>
                <w:szCs w:val="24"/>
                <w:lang w:val="en-US" w:eastAsia="zh-CN"/>
              </w:rPr>
              <w:t>机构</w:t>
            </w:r>
            <w:r>
              <w:rPr>
                <w:rFonts w:hint="eastAsia" w:ascii="宋体" w:hAnsi="宋体"/>
                <w:sz w:val="24"/>
                <w:szCs w:val="24"/>
              </w:rPr>
              <w:t>网点分布、内控管理建设、信息系统建设、资金汇划</w:t>
            </w:r>
            <w:r>
              <w:rPr>
                <w:rFonts w:hint="eastAsia" w:ascii="宋体" w:hAnsi="宋体"/>
                <w:sz w:val="24"/>
                <w:szCs w:val="24"/>
                <w:lang w:val="en-US" w:eastAsia="zh-CN"/>
              </w:rPr>
              <w:t>方式</w:t>
            </w:r>
            <w:r>
              <w:rPr>
                <w:rFonts w:hint="eastAsia" w:ascii="宋体" w:hAnsi="宋体"/>
                <w:sz w:val="24"/>
                <w:szCs w:val="24"/>
              </w:rPr>
              <w:t>渠道、国库集中收付业务管理办法和操作规程、风险防范机制，根据国库集中收付业务需要制定计算机硬件配置、软件开发及联网通讯方案等配套措施(含与财政预算管理一体化系统联网情况)、办理财税业务及代理国库业务情况、服务承诺等。申请书以正式行文方式提交。</w:t>
            </w:r>
          </w:p>
        </w:tc>
        <w:tc>
          <w:tcPr>
            <w:tcW w:w="1814" w:type="dxa"/>
            <w:vAlign w:val="center"/>
          </w:tcPr>
          <w:p>
            <w:pPr>
              <w:spacing w:line="300" w:lineRule="exact"/>
              <w:rPr>
                <w:rFonts w:ascii="宋体" w:hAnsi="宋体"/>
                <w:sz w:val="24"/>
                <w:szCs w:val="24"/>
              </w:rPr>
            </w:pPr>
            <w:r>
              <w:rPr>
                <w:rFonts w:hint="eastAsia" w:ascii="宋体" w:hAnsi="宋体"/>
                <w:sz w:val="24"/>
                <w:szCs w:val="24"/>
              </w:rPr>
              <w:t>见申请材料示范文本2。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9" w:hRule="atLeast"/>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3</w:t>
            </w:r>
          </w:p>
        </w:tc>
        <w:tc>
          <w:tcPr>
            <w:tcW w:w="1901" w:type="dxa"/>
            <w:vAlign w:val="center"/>
          </w:tcPr>
          <w:p>
            <w:pPr>
              <w:spacing w:line="300" w:lineRule="exact"/>
              <w:rPr>
                <w:rFonts w:ascii="宋体" w:hAnsi="宋体"/>
                <w:sz w:val="24"/>
                <w:szCs w:val="24"/>
              </w:rPr>
            </w:pPr>
            <w:r>
              <w:rPr>
                <w:rFonts w:hint="eastAsia" w:ascii="宋体" w:hAnsi="宋体"/>
                <w:sz w:val="24"/>
                <w:szCs w:val="24"/>
              </w:rPr>
              <w:t>《金融许可证》、《营业执照》（副本）</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复印件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sz w:val="24"/>
                <w:szCs w:val="24"/>
              </w:rPr>
            </w:pPr>
            <w:r>
              <w:rPr>
                <w:rFonts w:hint="eastAsia" w:ascii="宋体" w:hAnsi="宋体"/>
                <w:sz w:val="24"/>
                <w:szCs w:val="24"/>
              </w:rPr>
              <w:t>纸质</w:t>
            </w:r>
          </w:p>
        </w:tc>
        <w:tc>
          <w:tcPr>
            <w:tcW w:w="4050" w:type="dxa"/>
            <w:vAlign w:val="center"/>
          </w:tcPr>
          <w:p>
            <w:pPr>
              <w:pStyle w:val="9"/>
              <w:rPr>
                <w:color w:val="auto"/>
                <w:sz w:val="24"/>
                <w:szCs w:val="24"/>
              </w:rPr>
            </w:pPr>
            <w:r>
              <w:rPr>
                <w:rFonts w:hint="eastAsia" w:ascii="宋体" w:hAnsi="宋体"/>
                <w:color w:val="auto"/>
                <w:spacing w:val="-6"/>
                <w:sz w:val="24"/>
                <w:szCs w:val="24"/>
              </w:rPr>
              <w:t>可采取告知承诺方式办理；申请人不愿承诺或者无法承诺的，仍需要提交加盖单位公章的材料副本。</w:t>
            </w:r>
          </w:p>
        </w:tc>
        <w:tc>
          <w:tcPr>
            <w:tcW w:w="1814" w:type="dxa"/>
            <w:vAlign w:val="center"/>
          </w:tcPr>
          <w:p>
            <w:pPr>
              <w:spacing w:line="300" w:lineRule="exact"/>
              <w:rPr>
                <w:rFonts w:ascii="宋体" w:hAnsi="宋体"/>
                <w:sz w:val="24"/>
                <w:szCs w:val="24"/>
              </w:rPr>
            </w:pPr>
            <w:r>
              <w:rPr>
                <w:rFonts w:hint="eastAsia" w:ascii="宋体" w:hAnsi="宋体"/>
                <w:sz w:val="24"/>
                <w:szCs w:val="24"/>
              </w:rPr>
              <w:t>见申请材料示范文本3、4、5。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4</w:t>
            </w:r>
          </w:p>
        </w:tc>
        <w:tc>
          <w:tcPr>
            <w:tcW w:w="1901" w:type="dxa"/>
            <w:vAlign w:val="center"/>
          </w:tcPr>
          <w:p>
            <w:pPr>
              <w:spacing w:line="300" w:lineRule="exact"/>
              <w:rPr>
                <w:rFonts w:ascii="宋体" w:hAnsi="宋体"/>
                <w:sz w:val="24"/>
                <w:szCs w:val="24"/>
              </w:rPr>
            </w:pPr>
            <w:r>
              <w:rPr>
                <w:rFonts w:hint="eastAsia" w:ascii="宋体" w:hAnsi="宋体"/>
                <w:sz w:val="24"/>
                <w:szCs w:val="24"/>
              </w:rPr>
              <w:t>申请机构法定代表人或主要负责人身份证明文件</w:t>
            </w:r>
          </w:p>
        </w:tc>
        <w:tc>
          <w:tcPr>
            <w:tcW w:w="567" w:type="dxa"/>
            <w:vAlign w:val="center"/>
          </w:tcPr>
          <w:p>
            <w:pPr>
              <w:spacing w:line="300" w:lineRule="exact"/>
              <w:rPr>
                <w:rFonts w:ascii="宋体" w:hAnsi="宋体"/>
                <w:sz w:val="24"/>
                <w:szCs w:val="24"/>
              </w:rPr>
            </w:pPr>
            <w:r>
              <w:rPr>
                <w:rFonts w:hint="eastAsia" w:ascii="宋体" w:hAnsi="宋体"/>
                <w:sz w:val="24"/>
                <w:szCs w:val="24"/>
              </w:rPr>
              <w:t>复印件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rFonts w:ascii="宋体" w:hAnsi="宋体"/>
                <w:sz w:val="24"/>
                <w:szCs w:val="24"/>
              </w:rPr>
            </w:pPr>
            <w:r>
              <w:rPr>
                <w:rFonts w:hint="eastAsia" w:ascii="宋体" w:hAnsi="宋体"/>
                <w:sz w:val="24"/>
                <w:szCs w:val="24"/>
              </w:rPr>
              <w:t>纸质</w:t>
            </w:r>
          </w:p>
        </w:tc>
        <w:tc>
          <w:tcPr>
            <w:tcW w:w="4050" w:type="dxa"/>
            <w:vAlign w:val="center"/>
          </w:tcPr>
          <w:p>
            <w:pPr>
              <w:spacing w:line="300" w:lineRule="exact"/>
              <w:rPr>
                <w:rFonts w:hint="default" w:ascii="宋体" w:hAnsi="宋体" w:eastAsia="宋体"/>
                <w:sz w:val="24"/>
                <w:szCs w:val="24"/>
                <w:lang w:val="en-US" w:eastAsia="zh-CN"/>
              </w:rPr>
            </w:pPr>
            <w:r>
              <w:rPr>
                <w:rFonts w:hint="eastAsia" w:ascii="宋体" w:hAnsi="宋体"/>
                <w:sz w:val="24"/>
                <w:szCs w:val="24"/>
              </w:rPr>
              <w:t>加盖单位公章。</w:t>
            </w:r>
            <w:r>
              <w:rPr>
                <w:rFonts w:hint="eastAsia" w:ascii="宋体" w:hAnsi="宋体"/>
                <w:sz w:val="24"/>
                <w:szCs w:val="24"/>
                <w:lang w:val="en-US" w:eastAsia="zh-CN"/>
              </w:rPr>
              <w:t>如委托代理人提出申请的，还需要提供授权委托书和被委托人身份证明文件等。</w:t>
            </w:r>
          </w:p>
        </w:tc>
        <w:tc>
          <w:tcPr>
            <w:tcW w:w="1814" w:type="dxa"/>
            <w:vAlign w:val="center"/>
          </w:tcPr>
          <w:p>
            <w:pPr>
              <w:spacing w:line="300" w:lineRule="exact"/>
              <w:rPr>
                <w:rFonts w:ascii="宋体" w:hAnsi="宋体"/>
                <w:sz w:val="24"/>
                <w:szCs w:val="24"/>
              </w:rPr>
            </w:pPr>
            <w:r>
              <w:rPr>
                <w:rFonts w:hint="eastAsia" w:ascii="宋体" w:hAnsi="宋体"/>
                <w:sz w:val="24"/>
                <w:szCs w:val="24"/>
              </w:rPr>
              <w:t>营业执照上法定代表人姓名与申请单位现有法定代表人或主要负责人姓名不一致的，需要出具相关的文件或说明资料。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7" w:hRule="atLeast"/>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5</w:t>
            </w:r>
          </w:p>
        </w:tc>
        <w:tc>
          <w:tcPr>
            <w:tcW w:w="1901" w:type="dxa"/>
            <w:vAlign w:val="center"/>
          </w:tcPr>
          <w:p>
            <w:pPr>
              <w:spacing w:line="300" w:lineRule="exact"/>
              <w:rPr>
                <w:rFonts w:ascii="宋体" w:hAnsi="宋体"/>
                <w:sz w:val="24"/>
                <w:szCs w:val="24"/>
              </w:rPr>
            </w:pPr>
            <w:r>
              <w:rPr>
                <w:rFonts w:hint="eastAsia" w:ascii="宋体" w:hAnsi="宋体"/>
                <w:sz w:val="24"/>
                <w:szCs w:val="24"/>
              </w:rPr>
              <w:t>申请前两个年度央行金融机构评级结果</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复印件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rFonts w:ascii="宋体" w:hAnsi="宋体"/>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r>
              <w:rPr>
                <w:rFonts w:hint="eastAsia" w:ascii="宋体" w:hAnsi="宋体"/>
                <w:sz w:val="24"/>
                <w:szCs w:val="24"/>
              </w:rPr>
              <w:t>法人机构</w:t>
            </w:r>
            <w:r>
              <w:rPr>
                <w:rFonts w:hint="eastAsia" w:ascii="宋体" w:hAnsi="宋体"/>
                <w:sz w:val="24"/>
                <w:szCs w:val="24"/>
                <w:lang w:val="en-US" w:eastAsia="zh-CN"/>
              </w:rPr>
              <w:t>或上级机构的</w:t>
            </w:r>
            <w:r>
              <w:rPr>
                <w:rFonts w:hint="eastAsia" w:ascii="宋体" w:hAnsi="宋体"/>
                <w:sz w:val="24"/>
                <w:szCs w:val="24"/>
              </w:rPr>
              <w:t>评级结果。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1" w:hRule="atLeast"/>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6</w:t>
            </w:r>
          </w:p>
        </w:tc>
        <w:tc>
          <w:tcPr>
            <w:tcW w:w="1901" w:type="dxa"/>
            <w:vAlign w:val="center"/>
          </w:tcPr>
          <w:p>
            <w:pPr>
              <w:spacing w:line="300" w:lineRule="exact"/>
              <w:rPr>
                <w:rFonts w:ascii="宋体" w:hAnsi="宋体"/>
                <w:sz w:val="24"/>
                <w:szCs w:val="24"/>
              </w:rPr>
            </w:pPr>
            <w:r>
              <w:rPr>
                <w:rFonts w:hint="eastAsia" w:ascii="宋体" w:hAnsi="宋体"/>
                <w:sz w:val="24"/>
                <w:szCs w:val="24"/>
              </w:rPr>
              <w:t>申请前两个年度申请人境内资产负债表、利润表等财务报表</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复印件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r>
              <w:rPr>
                <w:rFonts w:hint="eastAsia" w:ascii="宋体" w:hAnsi="宋体"/>
                <w:sz w:val="24"/>
                <w:szCs w:val="24"/>
              </w:rPr>
              <w:t>见申请材料示范文本6。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7</w:t>
            </w:r>
          </w:p>
        </w:tc>
        <w:tc>
          <w:tcPr>
            <w:tcW w:w="1901" w:type="dxa"/>
            <w:vAlign w:val="center"/>
          </w:tcPr>
          <w:p>
            <w:pPr>
              <w:spacing w:line="300" w:lineRule="exact"/>
              <w:rPr>
                <w:rFonts w:ascii="宋体" w:hAnsi="宋体"/>
                <w:sz w:val="24"/>
                <w:szCs w:val="24"/>
              </w:rPr>
            </w:pPr>
            <w:r>
              <w:rPr>
                <w:rFonts w:hint="eastAsia" w:ascii="宋体" w:hAnsi="宋体"/>
                <w:sz w:val="24"/>
                <w:szCs w:val="24"/>
              </w:rPr>
              <w:t>申请前个两个年度金融监管部门、政府审计部门、会计师事务所作出的监管报告、</w:t>
            </w:r>
            <w:r>
              <w:rPr>
                <w:rFonts w:hint="eastAsia" w:ascii="宋体" w:hAnsi="宋体"/>
                <w:sz w:val="24"/>
                <w:szCs w:val="24"/>
                <w:lang w:val="en-US" w:eastAsia="zh-CN"/>
              </w:rPr>
              <w:t>检查报告、</w:t>
            </w:r>
            <w:r>
              <w:rPr>
                <w:rFonts w:hint="eastAsia" w:ascii="宋体" w:hAnsi="宋体"/>
                <w:sz w:val="24"/>
                <w:szCs w:val="24"/>
              </w:rPr>
              <w:t>审计报告等</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复印件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sz w:val="24"/>
                <w:szCs w:val="24"/>
              </w:rPr>
            </w:pPr>
            <w:r>
              <w:rPr>
                <w:rFonts w:hint="eastAsia" w:ascii="宋体" w:hAnsi="宋体"/>
                <w:sz w:val="24"/>
                <w:szCs w:val="24"/>
              </w:rPr>
              <w:t>纸质</w:t>
            </w:r>
          </w:p>
        </w:tc>
        <w:tc>
          <w:tcPr>
            <w:tcW w:w="4050" w:type="dxa"/>
            <w:vAlign w:val="center"/>
          </w:tcPr>
          <w:p>
            <w:pPr>
              <w:pStyle w:val="9"/>
              <w:rPr>
                <w:color w:val="auto"/>
                <w:sz w:val="24"/>
                <w:szCs w:val="24"/>
              </w:rPr>
            </w:pPr>
            <w:r>
              <w:rPr>
                <w:rFonts w:hint="eastAsia" w:ascii="宋体" w:hAnsi="宋体"/>
                <w:sz w:val="24"/>
                <w:szCs w:val="24"/>
              </w:rPr>
              <w:t>按法人机构提供；</w:t>
            </w:r>
            <w:r>
              <w:rPr>
                <w:rFonts w:hint="eastAsia" w:ascii="宋体" w:hAnsi="宋体"/>
                <w:color w:val="auto"/>
                <w:spacing w:val="-6"/>
                <w:sz w:val="24"/>
                <w:szCs w:val="24"/>
              </w:rPr>
              <w:t>可采取告知承诺方式办理，申请人不愿承诺或者无法承诺的，仍需要提交加盖单位公章的材料副本。</w:t>
            </w:r>
          </w:p>
        </w:tc>
        <w:tc>
          <w:tcPr>
            <w:tcW w:w="1814" w:type="dxa"/>
            <w:vAlign w:val="center"/>
          </w:tcPr>
          <w:p>
            <w:pPr>
              <w:spacing w:line="300" w:lineRule="exact"/>
              <w:rPr>
                <w:rFonts w:ascii="宋体" w:hAnsi="宋体"/>
                <w:sz w:val="24"/>
                <w:szCs w:val="24"/>
              </w:rPr>
            </w:pPr>
            <w:r>
              <w:rPr>
                <w:rFonts w:hint="eastAsia" w:ascii="宋体" w:hAnsi="宋体"/>
                <w:sz w:val="24"/>
                <w:szCs w:val="24"/>
              </w:rPr>
              <w:t>见申请材料示范文本4、5。</w:t>
            </w:r>
            <w:r>
              <w:rPr>
                <w:rFonts w:ascii="宋体" w:hAnsi="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8</w:t>
            </w:r>
          </w:p>
        </w:tc>
        <w:tc>
          <w:tcPr>
            <w:tcW w:w="1901" w:type="dxa"/>
            <w:vAlign w:val="center"/>
          </w:tcPr>
          <w:p>
            <w:pPr>
              <w:spacing w:line="300" w:lineRule="exact"/>
              <w:rPr>
                <w:rFonts w:ascii="宋体" w:hAnsi="宋体"/>
                <w:sz w:val="24"/>
                <w:szCs w:val="24"/>
              </w:rPr>
            </w:pPr>
            <w:r>
              <w:rPr>
                <w:rFonts w:hint="eastAsia" w:ascii="宋体" w:hAnsi="宋体"/>
                <w:sz w:val="24"/>
                <w:szCs w:val="24"/>
              </w:rPr>
              <w:t>申请前两个年度与代理国库业务相关的违法违规行为发生情况、行政处罚及整改情况，以及资金支付结算方面案件及查处情况说明等</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原件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r>
              <w:rPr>
                <w:rFonts w:hint="eastAsia" w:ascii="宋体" w:hAnsi="宋体"/>
                <w:sz w:val="24"/>
                <w:szCs w:val="24"/>
              </w:rPr>
              <w:t>应包括申请机构被采取限制业务活动、责令停业整顿、被接管等情况，若没有</w:t>
            </w:r>
            <w:r>
              <w:rPr>
                <w:rFonts w:hint="eastAsia" w:ascii="宋体" w:hAnsi="宋体"/>
                <w:sz w:val="24"/>
                <w:szCs w:val="24"/>
                <w:lang w:val="en-US" w:eastAsia="zh-CN"/>
              </w:rPr>
              <w:t>上述情况，</w:t>
            </w:r>
            <w:r>
              <w:rPr>
                <w:rFonts w:hint="eastAsia" w:ascii="宋体" w:hAnsi="宋体"/>
                <w:sz w:val="24"/>
                <w:szCs w:val="24"/>
              </w:rPr>
              <w:t>仍需要提供说明。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9</w:t>
            </w:r>
          </w:p>
        </w:tc>
        <w:tc>
          <w:tcPr>
            <w:tcW w:w="1901" w:type="dxa"/>
            <w:vAlign w:val="center"/>
          </w:tcPr>
          <w:p>
            <w:pPr>
              <w:spacing w:line="300" w:lineRule="exact"/>
              <w:rPr>
                <w:rFonts w:ascii="宋体" w:hAnsi="宋体"/>
                <w:sz w:val="24"/>
                <w:szCs w:val="24"/>
              </w:rPr>
            </w:pPr>
            <w:r>
              <w:rPr>
                <w:rFonts w:hint="eastAsia" w:ascii="宋体" w:hAnsi="宋体"/>
                <w:sz w:val="24"/>
                <w:szCs w:val="24"/>
              </w:rPr>
              <w:t>相关指标统计表</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原件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rFonts w:ascii="宋体" w:hAnsi="宋体"/>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r>
              <w:rPr>
                <w:rFonts w:hint="eastAsia" w:ascii="宋体" w:hAnsi="宋体"/>
                <w:sz w:val="24"/>
                <w:szCs w:val="24"/>
              </w:rPr>
              <w:t>见申请材料示范文本7。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10</w:t>
            </w:r>
          </w:p>
        </w:tc>
        <w:tc>
          <w:tcPr>
            <w:tcW w:w="1901" w:type="dxa"/>
            <w:vAlign w:val="center"/>
          </w:tcPr>
          <w:p>
            <w:pPr>
              <w:spacing w:line="300" w:lineRule="exact"/>
              <w:rPr>
                <w:rFonts w:ascii="宋体" w:hAnsi="宋体"/>
                <w:sz w:val="24"/>
                <w:szCs w:val="24"/>
              </w:rPr>
            </w:pPr>
            <w:r>
              <w:rPr>
                <w:rFonts w:hint="eastAsia" w:ascii="宋体" w:hAnsi="宋体"/>
                <w:sz w:val="24"/>
                <w:szCs w:val="24"/>
              </w:rPr>
              <w:t>申请材料真实性声明</w:t>
            </w:r>
          </w:p>
        </w:tc>
        <w:tc>
          <w:tcPr>
            <w:tcW w:w="567" w:type="dxa"/>
            <w:vAlign w:val="center"/>
          </w:tcPr>
          <w:p>
            <w:pPr>
              <w:spacing w:line="300" w:lineRule="exact"/>
              <w:jc w:val="center"/>
              <w:rPr>
                <w:rFonts w:ascii="宋体" w:hAnsi="宋体"/>
                <w:sz w:val="24"/>
                <w:szCs w:val="24"/>
              </w:rPr>
            </w:pPr>
            <w:r>
              <w:rPr>
                <w:rFonts w:hint="eastAsia" w:ascii="宋体" w:hAnsi="宋体"/>
                <w:sz w:val="24"/>
                <w:szCs w:val="24"/>
              </w:rPr>
              <w:t>原件</w:t>
            </w: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rFonts w:ascii="宋体" w:hAnsi="宋体"/>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0" w:hRule="atLeast"/>
          <w:jc w:val="center"/>
        </w:trPr>
        <w:tc>
          <w:tcPr>
            <w:tcW w:w="457" w:type="dxa"/>
            <w:vAlign w:val="center"/>
          </w:tcPr>
          <w:p>
            <w:pPr>
              <w:spacing w:line="300" w:lineRule="exact"/>
              <w:jc w:val="center"/>
              <w:rPr>
                <w:rFonts w:ascii="宋体" w:hAnsi="宋体"/>
                <w:sz w:val="24"/>
                <w:szCs w:val="24"/>
              </w:rPr>
            </w:pPr>
            <w:r>
              <w:rPr>
                <w:rFonts w:hint="eastAsia" w:ascii="宋体" w:hAnsi="宋体"/>
                <w:sz w:val="24"/>
                <w:szCs w:val="24"/>
              </w:rPr>
              <w:t>11</w:t>
            </w:r>
          </w:p>
        </w:tc>
        <w:tc>
          <w:tcPr>
            <w:tcW w:w="1901" w:type="dxa"/>
            <w:vAlign w:val="center"/>
          </w:tcPr>
          <w:p>
            <w:pPr>
              <w:spacing w:line="300" w:lineRule="exact"/>
              <w:rPr>
                <w:rFonts w:ascii="宋体" w:hAnsi="宋体"/>
                <w:sz w:val="24"/>
                <w:szCs w:val="24"/>
              </w:rPr>
            </w:pPr>
            <w:r>
              <w:rPr>
                <w:rFonts w:hint="eastAsia" w:ascii="宋体" w:hAnsi="宋体"/>
                <w:sz w:val="24"/>
                <w:szCs w:val="24"/>
              </w:rPr>
              <w:t>中国人民银行</w:t>
            </w:r>
            <w:r>
              <w:rPr>
                <w:rFonts w:hint="eastAsia" w:ascii="宋体" w:hAnsi="宋体" w:eastAsia="宋体"/>
                <w:sz w:val="24"/>
                <w:szCs w:val="24"/>
                <w:lang w:eastAsia="zh-CN"/>
              </w:rPr>
              <w:t>巴彦淖尔市分行</w:t>
            </w:r>
            <w:r>
              <w:rPr>
                <w:rFonts w:hint="eastAsia" w:ascii="宋体" w:hAnsi="宋体"/>
                <w:sz w:val="24"/>
                <w:szCs w:val="24"/>
              </w:rPr>
              <w:t>要求提供的其他材料</w:t>
            </w:r>
          </w:p>
        </w:tc>
        <w:tc>
          <w:tcPr>
            <w:tcW w:w="567" w:type="dxa"/>
            <w:vAlign w:val="center"/>
          </w:tcPr>
          <w:p>
            <w:pPr>
              <w:spacing w:line="300" w:lineRule="exact"/>
              <w:jc w:val="center"/>
              <w:rPr>
                <w:rFonts w:ascii="宋体" w:hAnsi="宋体"/>
                <w:sz w:val="24"/>
                <w:szCs w:val="24"/>
              </w:rPr>
            </w:pPr>
          </w:p>
        </w:tc>
        <w:tc>
          <w:tcPr>
            <w:tcW w:w="481" w:type="dxa"/>
            <w:vAlign w:val="center"/>
          </w:tcPr>
          <w:p>
            <w:pPr>
              <w:spacing w:line="300" w:lineRule="exact"/>
              <w:jc w:val="center"/>
              <w:rPr>
                <w:rFonts w:ascii="宋体" w:hAnsi="宋体"/>
                <w:sz w:val="24"/>
                <w:szCs w:val="24"/>
              </w:rPr>
            </w:pPr>
            <w:r>
              <w:rPr>
                <w:rFonts w:hint="eastAsia" w:ascii="宋体" w:hAnsi="宋体"/>
                <w:sz w:val="24"/>
                <w:szCs w:val="24"/>
              </w:rPr>
              <w:t>1</w:t>
            </w:r>
          </w:p>
        </w:tc>
        <w:tc>
          <w:tcPr>
            <w:tcW w:w="794" w:type="dxa"/>
            <w:vAlign w:val="center"/>
          </w:tcPr>
          <w:p>
            <w:pPr>
              <w:jc w:val="center"/>
              <w:rPr>
                <w:sz w:val="24"/>
                <w:szCs w:val="24"/>
              </w:rPr>
            </w:pPr>
            <w:r>
              <w:rPr>
                <w:rFonts w:hint="eastAsia" w:ascii="宋体" w:hAnsi="宋体"/>
                <w:sz w:val="24"/>
                <w:szCs w:val="24"/>
              </w:rPr>
              <w:t>纸质</w:t>
            </w:r>
          </w:p>
        </w:tc>
        <w:tc>
          <w:tcPr>
            <w:tcW w:w="4050" w:type="dxa"/>
            <w:vAlign w:val="center"/>
          </w:tcPr>
          <w:p>
            <w:pPr>
              <w:spacing w:line="300" w:lineRule="exact"/>
              <w:rPr>
                <w:rFonts w:ascii="宋体" w:hAnsi="宋体"/>
                <w:sz w:val="24"/>
                <w:szCs w:val="24"/>
              </w:rPr>
            </w:pPr>
            <w:r>
              <w:rPr>
                <w:rFonts w:hint="eastAsia" w:ascii="宋体" w:hAnsi="宋体"/>
                <w:sz w:val="24"/>
                <w:szCs w:val="24"/>
              </w:rPr>
              <w:t>加盖单位公章。</w:t>
            </w:r>
          </w:p>
        </w:tc>
        <w:tc>
          <w:tcPr>
            <w:tcW w:w="1814" w:type="dxa"/>
            <w:vAlign w:val="center"/>
          </w:tcPr>
          <w:p>
            <w:pPr>
              <w:spacing w:line="300" w:lineRule="exact"/>
              <w:rPr>
                <w:rFonts w:ascii="宋体" w:hAnsi="宋体"/>
                <w:sz w:val="24"/>
                <w:szCs w:val="24"/>
              </w:rPr>
            </w:pPr>
          </w:p>
        </w:tc>
      </w:tr>
    </w:tbl>
    <w:p>
      <w:pPr>
        <w:widowControl w:val="0"/>
        <w:wordWrap/>
        <w:adjustRightInd/>
        <w:snapToGrid/>
        <w:spacing w:line="560" w:lineRule="exact"/>
        <w:ind w:left="0" w:leftChars="0" w:right="0" w:firstLine="640" w:firstLineChars="200"/>
        <w:jc w:val="both"/>
        <w:textAlignment w:val="auto"/>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申请人应在指定受理时限内向中国人民银行巴彦淖尔市分行提交上述纸质申请材料。申请人提交申请材料时，应当出示单位统一社会信用代码证或营业执照，以及法定代表人（或者主要负责人）身份证明文件。申请人委托代理人提交申请材料的，还应出示代理人身份证明文件、被委托人身份证明文件，并提交授权委托书。</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val="en-US" w:eastAsia="zh-CN"/>
        </w:rPr>
        <w:t>《金融许可证》、《营业执照》，以及</w:t>
      </w:r>
      <w:r>
        <w:rPr>
          <w:rFonts w:hint="eastAsia" w:ascii="仿宋_GB2312" w:hAnsi="黑体" w:eastAsia="仿宋_GB2312" w:cs="黑体"/>
          <w:kern w:val="2"/>
          <w:sz w:val="32"/>
          <w:szCs w:val="32"/>
          <w:lang w:eastAsia="zh-CN"/>
        </w:rPr>
        <w:t>金融监管部门、政府审计部门、会计师事务所作出的监管报告、</w:t>
      </w:r>
      <w:r>
        <w:rPr>
          <w:rFonts w:hint="eastAsia" w:ascii="仿宋_GB2312" w:hAnsi="黑体" w:eastAsia="仿宋_GB2312" w:cs="黑体"/>
          <w:kern w:val="2"/>
          <w:sz w:val="32"/>
          <w:szCs w:val="32"/>
          <w:lang w:val="en-US" w:eastAsia="zh-CN"/>
        </w:rPr>
        <w:t>检查报告、</w:t>
      </w:r>
      <w:r>
        <w:rPr>
          <w:rFonts w:hint="eastAsia" w:ascii="仿宋_GB2312" w:hAnsi="黑体" w:eastAsia="仿宋_GB2312" w:cs="黑体"/>
          <w:kern w:val="2"/>
          <w:sz w:val="32"/>
          <w:szCs w:val="32"/>
          <w:lang w:eastAsia="zh-CN"/>
        </w:rPr>
        <w:t>审计报告等，</w:t>
      </w:r>
      <w:r>
        <w:rPr>
          <w:rFonts w:hint="eastAsia" w:ascii="仿宋_GB2312" w:hAnsi="黑体" w:eastAsia="仿宋_GB2312" w:cs="黑体"/>
          <w:kern w:val="2"/>
          <w:sz w:val="32"/>
          <w:szCs w:val="32"/>
          <w:lang w:val="en-US" w:eastAsia="zh-CN"/>
        </w:rPr>
        <w:t>依据《中国人民银行关于实行证明事项告知承诺制有关事项的通知》（银发〔2021〕178号），可以实行告知承诺制的证明事项，申请人可自主选择是否采取告知承诺方式办理。申请人选择告知承诺方式办理的，受理机构出具《告知书》，明确申请人承诺各事项，申请人依据要求提供《承诺书》，就《告知书》内容逐一承诺。申请人不愿承诺或无法承诺的，应当依法提交相关证明。申请人具有较严重不良信用记录或者存在曾经作出虚假承诺等情形的，在信用修复前不适用告知承诺制。</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、申请接收</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（一）接收方式</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中国人民银行巴彦淖尔市分行国库科现场接收申请材料。</w:t>
      </w:r>
    </w:p>
    <w:p>
      <w:pPr>
        <w:pStyle w:val="2"/>
        <w:widowControl/>
        <w:numPr>
          <w:ilvl w:val="0"/>
          <w:numId w:val="3"/>
        </w:numPr>
        <w:kinsoku w:val="0"/>
        <w:wordWrap/>
        <w:autoSpaceDE w:val="0"/>
        <w:autoSpaceDN w:val="0"/>
        <w:adjustRightInd w:val="0"/>
        <w:snapToGrid w:val="0"/>
        <w:spacing w:line="560" w:lineRule="exact"/>
        <w:ind w:left="0" w:leftChars="0" w:right="0" w:firstLine="640" w:firstLineChars="200"/>
        <w:jc w:val="left"/>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接收地址</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中国人民银行巴彦淖尔市分行（内蒙古自治区巴彦淖尔市临河区新华东街36号）。</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lang w:eastAsia="zh-CN"/>
        </w:rPr>
        <w:t>十一</w:t>
      </w:r>
      <w:r>
        <w:rPr>
          <w:rFonts w:hint="eastAsia" w:ascii="黑体" w:hAnsi="黑体" w:eastAsia="黑体" w:cs="黑体"/>
          <w:sz w:val="32"/>
          <w:szCs w:val="32"/>
        </w:rPr>
        <w:t>、办理基本流程</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rPr>
        <w:t>）申请</w:t>
      </w:r>
    </w:p>
    <w:p>
      <w:pPr>
        <w:pStyle w:val="2"/>
        <w:widowControl/>
        <w:kinsoku w:val="0"/>
        <w:wordWrap/>
        <w:autoSpaceDE w:val="0"/>
        <w:autoSpaceDN w:val="0"/>
        <w:adjustRightInd w:val="0"/>
        <w:snapToGrid w:val="0"/>
        <w:spacing w:line="560" w:lineRule="exact"/>
        <w:ind w:left="0" w:leftChars="0" w:right="0" w:firstLine="640" w:firstLineChars="200"/>
        <w:jc w:val="both"/>
        <w:textAlignment w:val="baseline"/>
        <w:outlineLvl w:val="9"/>
        <w:rPr>
          <w:rFonts w:hint="eastAsia" w:ascii="仿宋_GB2312" w:hAnsi="黑体" w:eastAsia="仿宋_GB2312"/>
          <w:sz w:val="32"/>
          <w:szCs w:val="32"/>
        </w:rPr>
      </w:pPr>
      <w:r>
        <w:rPr>
          <w:rFonts w:hint="eastAsia" w:ascii="仿宋_GB2312" w:hAnsi="黑体" w:eastAsia="仿宋_GB2312"/>
          <w:sz w:val="32"/>
          <w:szCs w:val="32"/>
        </w:rPr>
        <w:t>地方各级国库集中收付代理银行资格认定，由国库集中收付业务所属地的银行业金融机构总行或最高级别分支机构</w:t>
      </w:r>
      <w:r>
        <w:rPr>
          <w:rFonts w:hint="eastAsia" w:ascii="仿宋_GB2312" w:hAnsi="黑体" w:eastAsia="仿宋_GB2312"/>
          <w:sz w:val="32"/>
          <w:szCs w:val="32"/>
          <w:lang w:val="en-US" w:eastAsia="zh-CN"/>
        </w:rPr>
        <w:t>提出</w:t>
      </w:r>
      <w:r>
        <w:rPr>
          <w:rFonts w:hint="eastAsia" w:ascii="仿宋_GB2312" w:hAnsi="黑体" w:eastAsia="仿宋_GB2312"/>
          <w:sz w:val="32"/>
          <w:szCs w:val="32"/>
        </w:rPr>
        <w:t>申请。</w:t>
      </w:r>
    </w:p>
    <w:p>
      <w:pPr>
        <w:pStyle w:val="2"/>
        <w:widowControl/>
        <w:kinsoku w:val="0"/>
        <w:wordWrap/>
        <w:autoSpaceDE w:val="0"/>
        <w:autoSpaceDN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申请人应在指定受理时限内将纸质材料提交中国人民银行巴彦淖尔市分行</w:t>
      </w:r>
      <w:r>
        <w:rPr>
          <w:rFonts w:hint="eastAsia" w:ascii="仿宋_GB2312" w:hAnsi="仿宋_GB2312" w:eastAsia="仿宋_GB2312" w:cs="仿宋_GB2312"/>
          <w:sz w:val="32"/>
          <w:szCs w:val="32"/>
          <w:lang w:eastAsia="zh-CN"/>
        </w:rPr>
        <w:t>国库科</w:t>
      </w:r>
      <w:r>
        <w:rPr>
          <w:rFonts w:hint="eastAsia" w:ascii="仿宋_GB2312" w:hAnsi="仿宋_GB2312" w:eastAsia="仿宋_GB2312" w:cs="仿宋_GB2312"/>
          <w:sz w:val="32"/>
          <w:szCs w:val="32"/>
        </w:rPr>
        <w:t>。超出受理时限的，视为无效申请。申请书应由申请人正式行文提出，文件主送单位为中国人民银行巴彦淖尔市分行。</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）受理</w:t>
      </w:r>
    </w:p>
    <w:p>
      <w:pPr>
        <w:pStyle w:val="2"/>
        <w:widowControl/>
        <w:kinsoku w:val="0"/>
        <w:wordWrap/>
        <w:autoSpaceDE w:val="0"/>
        <w:autoSpaceDN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巴彦淖尔市分行对于申请材料齐全，符合法定形式的，应当场向申请人发出《行政许可受理通知书》；对于申请材料不齐全、不符合法定形式或者存在错误不能当场更正的，应当场或者在收到申请材料之日起</w:t>
      </w:r>
      <w:r>
        <w:rPr>
          <w:rFonts w:hint="eastAsia" w:ascii="仿宋_GB2312" w:hAnsi="黑体" w:eastAsia="仿宋_GB2312"/>
          <w:sz w:val="32"/>
          <w:szCs w:val="32"/>
        </w:rPr>
        <w:t>5个工作日</w:t>
      </w:r>
      <w:r>
        <w:rPr>
          <w:rFonts w:hint="eastAsia" w:ascii="仿宋_GB2312" w:hAnsi="仿宋_GB2312" w:eastAsia="仿宋_GB2312" w:cs="仿宋_GB2312"/>
          <w:sz w:val="32"/>
          <w:szCs w:val="32"/>
        </w:rPr>
        <w:t>内一次告知申请人需要补正的全部内容，并向申请人发出《行政许可补正告知书》；申请人拒不补正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或者自《行政许可补正告知书》送达之日起10个工作日内无正当理由未补正的，视为放弃行政许可申请，中国人民银行巴彦淖尔市分行国库科退回已收到的全部申请资料。</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楷体_GB2312" w:hAnsi="黑体" w:eastAsia="楷体_GB2312"/>
          <w:sz w:val="32"/>
          <w:szCs w:val="32"/>
        </w:rPr>
        <w:t>审查与决定</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中国人民银行巴彦淖尔市分行</w:t>
      </w:r>
      <w:r>
        <w:rPr>
          <w:rFonts w:hint="eastAsia" w:ascii="仿宋_GB2312" w:hAnsi="仿宋_GB2312" w:eastAsia="仿宋_GB2312" w:cs="仿宋_GB2312"/>
          <w:sz w:val="32"/>
          <w:szCs w:val="32"/>
          <w:lang w:eastAsia="zh-CN"/>
        </w:rPr>
        <w:t>国库科</w:t>
      </w:r>
      <w:r>
        <w:rPr>
          <w:rFonts w:hint="eastAsia" w:ascii="仿宋_GB2312" w:hAnsi="仿宋_GB2312" w:eastAsia="仿宋_GB2312" w:cs="仿宋_GB2312"/>
          <w:sz w:val="32"/>
          <w:szCs w:val="32"/>
        </w:rPr>
        <w:t>应对申请人提交的申请材料进行严格</w:t>
      </w:r>
      <w:r>
        <w:rPr>
          <w:rFonts w:hint="eastAsia" w:ascii="仿宋_GB2312" w:hAnsi="黑体" w:eastAsia="仿宋_GB2312"/>
          <w:sz w:val="32"/>
          <w:szCs w:val="32"/>
          <w:lang w:val="en-US" w:eastAsia="zh-CN"/>
        </w:rPr>
        <w:t>审核</w:t>
      </w:r>
      <w:r>
        <w:rPr>
          <w:rFonts w:hint="eastAsia" w:ascii="仿宋_GB2312" w:hAnsi="仿宋_GB2312" w:eastAsia="仿宋_GB2312" w:cs="仿宋_GB2312"/>
          <w:sz w:val="32"/>
          <w:szCs w:val="32"/>
        </w:rPr>
        <w:t>，按照规定</w:t>
      </w:r>
      <w:r>
        <w:rPr>
          <w:rFonts w:hint="eastAsia" w:ascii="仿宋_GB2312" w:hAnsi="黑体" w:eastAsia="仿宋_GB2312"/>
          <w:sz w:val="32"/>
          <w:szCs w:val="32"/>
        </w:rPr>
        <w:t>进行综合评审，符合申请条件，</w:t>
      </w:r>
      <w:r>
        <w:rPr>
          <w:rFonts w:hint="eastAsia" w:ascii="仿宋_GB2312" w:hAnsi="黑体" w:eastAsia="仿宋_GB2312"/>
          <w:sz w:val="32"/>
          <w:szCs w:val="32"/>
          <w:lang w:val="en-US" w:eastAsia="zh-CN"/>
        </w:rPr>
        <w:t>且</w:t>
      </w:r>
      <w:r>
        <w:rPr>
          <w:rFonts w:hint="eastAsia" w:ascii="仿宋_GB2312" w:hAnsi="黑体" w:eastAsia="仿宋_GB2312"/>
          <w:sz w:val="32"/>
          <w:szCs w:val="32"/>
        </w:rPr>
        <w:t>综合评价分值超过60分（含）的申请人为资格认定合格</w:t>
      </w:r>
      <w:r>
        <w:rPr>
          <w:rFonts w:hint="eastAsia" w:ascii="仿宋_GB2312" w:hAnsi="仿宋_GB2312" w:eastAsia="仿宋_GB2312" w:cs="仿宋_GB2312"/>
          <w:sz w:val="32"/>
          <w:szCs w:val="32"/>
        </w:rPr>
        <w:t>。</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中国人民银行巴彦淖尔市分行</w:t>
      </w:r>
      <w:r>
        <w:rPr>
          <w:rFonts w:hint="eastAsia" w:ascii="仿宋_GB2312" w:hAnsi="仿宋_GB2312" w:eastAsia="仿宋_GB2312" w:cs="仿宋_GB2312"/>
          <w:sz w:val="32"/>
          <w:szCs w:val="32"/>
          <w:lang w:eastAsia="zh-CN"/>
        </w:rPr>
        <w:t>应</w:t>
      </w:r>
      <w:r>
        <w:rPr>
          <w:rFonts w:hint="eastAsia" w:ascii="仿宋_GB2312" w:hAnsi="黑体" w:eastAsia="仿宋_GB2312"/>
          <w:sz w:val="32"/>
          <w:szCs w:val="32"/>
        </w:rPr>
        <w:t>在受理申请材料之日起15个工作日内作出行政许可决定</w:t>
      </w:r>
      <w:r>
        <w:rPr>
          <w:rFonts w:hint="eastAsia" w:ascii="仿宋_GB2312" w:hAnsi="仿宋_GB2312" w:eastAsia="仿宋_GB2312" w:cs="仿宋_GB2312"/>
          <w:sz w:val="32"/>
          <w:szCs w:val="32"/>
        </w:rPr>
        <w:t>。</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）结果公开</w:t>
      </w:r>
    </w:p>
    <w:p>
      <w:pPr>
        <w:pStyle w:val="2"/>
        <w:widowControl/>
        <w:kinsoku w:val="0"/>
        <w:wordWrap/>
        <w:autoSpaceDE w:val="0"/>
        <w:autoSpaceDN w:val="0"/>
        <w:adjustRightInd w:val="0"/>
        <w:snapToGrid w:val="0"/>
        <w:spacing w:line="560" w:lineRule="exact"/>
        <w:ind w:right="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黑体" w:eastAsia="仿宋_GB2312"/>
          <w:sz w:val="32"/>
          <w:szCs w:val="32"/>
        </w:rPr>
        <w:t>国库集中收付代理银行资格认定结果，通过中国人民银行内蒙古自治区分行互联网站</w:t>
      </w:r>
      <w:r>
        <w:rPr>
          <w:rFonts w:hint="eastAsia" w:ascii="仿宋_GB2312" w:hAnsi="黑体" w:eastAsia="仿宋_GB2312"/>
          <w:sz w:val="32"/>
          <w:szCs w:val="32"/>
          <w:lang w:eastAsia="zh-CN"/>
        </w:rPr>
        <w:t>或中国人民银行巴彦淖尔市分行</w:t>
      </w:r>
      <w:r>
        <w:rPr>
          <w:rFonts w:hint="eastAsia" w:ascii="仿宋_GB2312" w:hAnsi="黑体" w:eastAsia="仿宋_GB2312"/>
          <w:sz w:val="32"/>
          <w:szCs w:val="32"/>
        </w:rPr>
        <w:t>办公场所进行公开</w:t>
      </w:r>
      <w:r>
        <w:rPr>
          <w:rFonts w:hint="eastAsia" w:ascii="仿宋_GB2312" w:hAnsi="仿宋_GB2312" w:eastAsia="仿宋_GB2312" w:cs="仿宋_GB2312"/>
          <w:sz w:val="32"/>
          <w:szCs w:val="32"/>
        </w:rPr>
        <w:t>。</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lang w:eastAsia="zh-CN"/>
        </w:rPr>
        <w:t>十二</w:t>
      </w:r>
      <w:r>
        <w:rPr>
          <w:rFonts w:hint="eastAsia" w:ascii="黑体" w:hAnsi="黑体" w:eastAsia="黑体" w:cs="黑体"/>
          <w:sz w:val="32"/>
          <w:szCs w:val="32"/>
        </w:rPr>
        <w:t>、办理方式</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黑体" w:eastAsia="仿宋_GB2312"/>
          <w:sz w:val="32"/>
          <w:szCs w:val="32"/>
        </w:rPr>
        <w:t>国库集中收付代理银行资格认定行政审批事项采取一般程序，即包括申请、受理、审查与决定、证件（文书）制作与送达、结果公开等</w:t>
      </w:r>
      <w:r>
        <w:rPr>
          <w:rFonts w:hint="eastAsia" w:ascii="仿宋_GB2312" w:hAnsi="仿宋_GB2312" w:eastAsia="仿宋_GB2312" w:cs="仿宋_GB2312"/>
          <w:sz w:val="32"/>
          <w:szCs w:val="32"/>
        </w:rPr>
        <w:t>。</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三</w:t>
      </w:r>
      <w:r>
        <w:rPr>
          <w:rFonts w:hint="eastAsia" w:ascii="黑体" w:hAnsi="黑体" w:eastAsia="黑体" w:cs="黑体"/>
          <w:sz w:val="32"/>
          <w:szCs w:val="32"/>
        </w:rPr>
        <w:t>、办结时限</w:t>
      </w:r>
    </w:p>
    <w:p>
      <w:pPr>
        <w:pStyle w:val="2"/>
        <w:widowControl/>
        <w:kinsoku w:val="0"/>
        <w:wordWrap/>
        <w:autoSpaceDE w:val="0"/>
        <w:autoSpaceDN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中国人民银行巴彦淖尔市分行</w:t>
      </w:r>
      <w:r>
        <w:rPr>
          <w:rFonts w:hint="eastAsia" w:ascii="仿宋_GB2312" w:hAnsi="仿宋_GB2312" w:eastAsia="仿宋_GB2312" w:cs="仿宋_GB2312"/>
          <w:sz w:val="32"/>
          <w:szCs w:val="32"/>
          <w:lang w:eastAsia="zh-CN"/>
        </w:rPr>
        <w:t>应在</w:t>
      </w:r>
      <w:r>
        <w:rPr>
          <w:rFonts w:hint="eastAsia" w:ascii="仿宋_GB2312" w:hAnsi="仿宋_GB2312" w:eastAsia="仿宋_GB2312" w:cs="仿宋_GB2312"/>
          <w:sz w:val="32"/>
          <w:szCs w:val="32"/>
        </w:rPr>
        <w:t xml:space="preserve">受理申请材料之日起 </w:t>
      </w:r>
      <w:r>
        <w:rPr>
          <w:rFonts w:hint="eastAsia" w:ascii="仿宋_GB2312" w:hAnsi="仿宋_GB2312" w:eastAsia="仿宋_GB2312" w:cs="仿宋_GB2312"/>
          <w:sz w:val="32"/>
          <w:szCs w:val="32"/>
          <w:lang w:val="en-US" w:eastAsia="zh-CN"/>
        </w:rPr>
        <w:t xml:space="preserve">15 </w:t>
      </w:r>
      <w:r>
        <w:rPr>
          <w:rFonts w:hint="eastAsia" w:ascii="仿宋_GB2312" w:hAnsi="仿宋_GB2312" w:eastAsia="仿宋_GB2312" w:cs="仿宋_GB2312"/>
          <w:sz w:val="32"/>
          <w:szCs w:val="32"/>
        </w:rPr>
        <w:t>个工作日内作出行政许可决定。在规定期限内不能作出审批决定的，经中国人民银行巴彦淖尔市分行行长批准，</w:t>
      </w:r>
      <w:r>
        <w:rPr>
          <w:rFonts w:hint="eastAsia" w:ascii="仿宋_GB2312" w:hAnsi="仿宋_GB2312" w:eastAsia="仿宋_GB2312" w:cs="仿宋_GB2312"/>
          <w:sz w:val="32"/>
          <w:szCs w:val="32"/>
          <w:highlight w:val="none"/>
        </w:rPr>
        <w:t>可以延</w:t>
      </w:r>
      <w:r>
        <w:rPr>
          <w:rFonts w:hint="eastAsia" w:ascii="仿宋_GB2312" w:hAnsi="黑体" w:eastAsia="仿宋_GB2312" w:cs="黑体"/>
          <w:kern w:val="2"/>
          <w:sz w:val="32"/>
          <w:szCs w:val="32"/>
          <w:highlight w:val="none"/>
          <w:lang w:eastAsia="zh-CN"/>
        </w:rPr>
        <w:t xml:space="preserve">长 </w:t>
      </w:r>
      <w:r>
        <w:rPr>
          <w:rFonts w:hint="eastAsia" w:ascii="仿宋_GB2312" w:hAnsi="仿宋_GB2312" w:eastAsia="仿宋_GB2312" w:cs="仿宋_GB2312"/>
          <w:kern w:val="2"/>
          <w:sz w:val="32"/>
          <w:szCs w:val="32"/>
          <w:highlight w:val="none"/>
          <w:lang w:eastAsia="zh-CN"/>
        </w:rPr>
        <w:t>10</w:t>
      </w:r>
      <w:r>
        <w:rPr>
          <w:rFonts w:hint="eastAsia" w:ascii="仿宋_GB2312" w:hAnsi="黑体" w:eastAsia="仿宋_GB2312" w:cs="黑体"/>
          <w:kern w:val="2"/>
          <w:sz w:val="32"/>
          <w:szCs w:val="32"/>
          <w:lang w:eastAsia="zh-CN"/>
        </w:rPr>
        <w:t>个工</w:t>
      </w:r>
      <w:r>
        <w:rPr>
          <w:rFonts w:hint="eastAsia" w:ascii="仿宋_GB2312" w:hAnsi="黑体" w:eastAsia="仿宋_GB2312"/>
          <w:sz w:val="32"/>
          <w:szCs w:val="32"/>
        </w:rPr>
        <w:t>作日</w:t>
      </w:r>
      <w:r>
        <w:rPr>
          <w:rFonts w:hint="eastAsia" w:ascii="仿宋_GB2312" w:hAnsi="仿宋_GB2312" w:eastAsia="仿宋_GB2312" w:cs="仿宋_GB2312"/>
          <w:sz w:val="32"/>
          <w:szCs w:val="32"/>
        </w:rPr>
        <w:t>，同时将延长期限理由告知申请人。</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四</w:t>
      </w:r>
      <w:r>
        <w:rPr>
          <w:rFonts w:hint="eastAsia" w:ascii="黑体" w:hAnsi="黑体" w:eastAsia="黑体" w:cs="黑体"/>
          <w:sz w:val="32"/>
          <w:szCs w:val="32"/>
        </w:rPr>
        <w:t>、收费依据及标准</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五</w:t>
      </w:r>
      <w:r>
        <w:rPr>
          <w:rFonts w:hint="eastAsia" w:ascii="黑体" w:hAnsi="黑体" w:eastAsia="黑体" w:cs="黑体"/>
          <w:sz w:val="32"/>
          <w:szCs w:val="32"/>
        </w:rPr>
        <w:t>、审批结果</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黑体" w:eastAsia="仿宋_GB2312"/>
          <w:sz w:val="32"/>
          <w:szCs w:val="32"/>
        </w:rPr>
        <w:t>颁发准予/不予行政许可决定书</w:t>
      </w:r>
      <w:r>
        <w:rPr>
          <w:rFonts w:hint="eastAsia" w:ascii="仿宋_GB2312" w:hAnsi="仿宋_GB2312" w:eastAsia="仿宋_GB2312" w:cs="仿宋_GB2312"/>
          <w:sz w:val="32"/>
          <w:szCs w:val="32"/>
        </w:rPr>
        <w:t>。</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六</w:t>
      </w:r>
      <w:r>
        <w:rPr>
          <w:rFonts w:hint="eastAsia" w:ascii="黑体" w:hAnsi="黑体" w:eastAsia="黑体" w:cs="黑体"/>
          <w:sz w:val="32"/>
          <w:szCs w:val="32"/>
        </w:rPr>
        <w:t>、结果送达</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自作出决定之日起 10 </w:t>
      </w:r>
      <w:r>
        <w:rPr>
          <w:rFonts w:hint="eastAsia" w:ascii="仿宋_GB2312" w:hAnsi="黑体" w:eastAsia="仿宋_GB2312"/>
          <w:sz w:val="32"/>
          <w:szCs w:val="32"/>
        </w:rPr>
        <w:t>个工作日</w:t>
      </w:r>
      <w:r>
        <w:rPr>
          <w:rFonts w:hint="eastAsia" w:ascii="仿宋_GB2312" w:hAnsi="仿宋_GB2312" w:eastAsia="仿宋_GB2312" w:cs="仿宋_GB2312"/>
          <w:sz w:val="32"/>
          <w:szCs w:val="32"/>
        </w:rPr>
        <w:t>内将文书（证书）送达申请人，并请申请人在送达回证上签</w:t>
      </w:r>
      <w:r>
        <w:rPr>
          <w:rFonts w:hint="eastAsia" w:ascii="仿宋_GB2312" w:hAnsi="仿宋_GB2312" w:eastAsia="仿宋_GB2312" w:cs="仿宋_GB2312"/>
          <w:sz w:val="32"/>
          <w:szCs w:val="32"/>
          <w:lang w:eastAsia="zh-CN"/>
        </w:rPr>
        <w:t>章</w:t>
      </w:r>
      <w:r>
        <w:rPr>
          <w:rFonts w:hint="eastAsia" w:ascii="仿宋_GB2312" w:hAnsi="仿宋_GB2312" w:eastAsia="仿宋_GB2312" w:cs="仿宋_GB2312"/>
          <w:sz w:val="32"/>
          <w:szCs w:val="32"/>
        </w:rPr>
        <w:t>。</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七</w:t>
      </w:r>
      <w:r>
        <w:rPr>
          <w:rFonts w:hint="eastAsia" w:ascii="黑体" w:hAnsi="黑体" w:eastAsia="黑体" w:cs="黑体"/>
          <w:sz w:val="32"/>
          <w:szCs w:val="32"/>
        </w:rPr>
        <w:t>、</w:t>
      </w:r>
      <w:r>
        <w:rPr>
          <w:rFonts w:hint="eastAsia" w:ascii="黑体" w:hAnsi="黑体" w:eastAsia="黑体"/>
          <w:sz w:val="32"/>
          <w:szCs w:val="32"/>
        </w:rPr>
        <w:t>行政相对人权利和义务</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（一）依据《中华人民共和国行政许可法》、《中国人民银行行政许可实施办法》等，行政相对人依法享有以下权利：</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1、符合法定条件、标准的，行政相对人有依法取得行政许可平等权利，中国人民银行各分支机构不得歧视。</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2、行政相对人对中国人民银行分支机构实施的行政许可，享有陈述、申辩的权利；有权依法申请行政复议或提出行政诉讼。</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3、行政相对人可以委托代理人提出行政许可申请。但依法应当由行政相对人到中国人民银行各分支机构办公场所提出行政许可申请的除外。</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4、行政相对人要求对公示内容予以说明、解释的，有关职能部门应当说明、解释，并提供准确、可靠的信息。</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5、行政许可直接涉及行政相对人与他人之间重大利益关系的，中国人民银行各分支机构在作出行政许可决定前，承办行政许可事项的职能部门应当告知行政相对人、利害关系人享有要求听证的权利；行政相对人、利害关系人在被告知听证权利之日起 5 个工作日内提出听证申请的，中国人民银行各分支机构应当在 20 个工作日内组织听证。</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（二）依据《中华人民共和国行政许可法》、《中国人民银行行政许可实施办法》等，行政相对人依法履行以下义务：</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1、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被许可人不履行前款规定的义务的，行政机关应当责令限期整改，或者依法采取有效措施督促其履行义务。</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2、行政相对人应对申请材料、中标通知书及委托代理协议的真实性、完整性负责。</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因提交资料不真实或以虚假手段骗取参加招投标资格的，取消其本次申请资格，行政相对人应承担责任，并不得在下一次资格认定活动中提出申请。</w:t>
      </w:r>
    </w:p>
    <w:p>
      <w:pPr>
        <w:pStyle w:val="2"/>
        <w:widowControl/>
        <w:numPr>
          <w:ilvl w:val="0"/>
          <w:numId w:val="4"/>
        </w:numPr>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黑体" w:eastAsia="仿宋_GB2312" w:cs="黑体"/>
          <w:kern w:val="2"/>
          <w:sz w:val="32"/>
          <w:szCs w:val="32"/>
          <w:lang w:eastAsia="zh-CN"/>
        </w:rPr>
      </w:pPr>
      <w:r>
        <w:rPr>
          <w:rFonts w:hint="eastAsia" w:ascii="仿宋_GB2312" w:hAnsi="黑体" w:eastAsia="仿宋_GB2312" w:cs="黑体"/>
          <w:kern w:val="2"/>
          <w:sz w:val="32"/>
          <w:szCs w:val="32"/>
          <w:lang w:eastAsia="zh-CN"/>
        </w:rPr>
        <w:t>行政相对人被确定为国库集中支付代理银行后，应自接到中标通知书之日起 20 个工作日内，凭加盖公章的中标通知书复印件和与财政部门签订的委托代理协议复印件，与业务所在地中国人民银行国库部门（含代理支库、代理乡镇国库）签订国库集中支付清算协议。</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八</w:t>
      </w:r>
      <w:r>
        <w:rPr>
          <w:rFonts w:hint="eastAsia" w:ascii="黑体" w:hAnsi="黑体" w:eastAsia="黑体" w:cs="黑体"/>
          <w:sz w:val="32"/>
          <w:szCs w:val="32"/>
        </w:rPr>
        <w:t>、咨询途径</w:t>
      </w:r>
    </w:p>
    <w:p>
      <w:pPr>
        <w:pStyle w:val="2"/>
        <w:widowControl/>
        <w:numPr>
          <w:ilvl w:val="0"/>
          <w:numId w:val="5"/>
        </w:numPr>
        <w:kinsoku w:val="0"/>
        <w:wordWrap/>
        <w:autoSpaceDE w:val="0"/>
        <w:autoSpaceDN w:val="0"/>
        <w:adjustRightInd w:val="0"/>
        <w:snapToGrid w:val="0"/>
        <w:spacing w:line="560" w:lineRule="exact"/>
        <w:ind w:left="0" w:leftChars="0" w:right="0" w:firstLine="640" w:firstLineChars="200"/>
        <w:jc w:val="left"/>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窗口咨询：</w:t>
      </w:r>
    </w:p>
    <w:p>
      <w:pPr>
        <w:pStyle w:val="2"/>
        <w:widowControl/>
        <w:numPr>
          <w:numId w:val="0"/>
        </w:numPr>
        <w:kinsoku w:val="0"/>
        <w:wordWrap/>
        <w:autoSpaceDE w:val="0"/>
        <w:autoSpaceDN w:val="0"/>
        <w:adjustRightInd w:val="0"/>
        <w:snapToGrid w:val="0"/>
        <w:spacing w:line="560" w:lineRule="exact"/>
        <w:ind w:left="420" w:leftChars="200" w:right="0" w:firstLine="320" w:firstLineChars="100"/>
        <w:jc w:val="left"/>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中国人民银行巴彦淖尔市分行</w:t>
      </w:r>
      <w:r>
        <w:rPr>
          <w:rFonts w:hint="eastAsia" w:ascii="仿宋_GB2312" w:hAnsi="仿宋_GB2312" w:eastAsia="仿宋_GB2312" w:cs="仿宋_GB2312"/>
          <w:sz w:val="32"/>
          <w:szCs w:val="32"/>
          <w:lang w:eastAsia="zh-CN"/>
        </w:rPr>
        <w:t>国库科</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地址：内蒙古自治区巴彦淖尔市临河区新华东街36号</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1"/>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（二）电话咨询：</w:t>
      </w:r>
      <w:r>
        <w:rPr>
          <w:rFonts w:hint="eastAsia" w:ascii="仿宋_GB2312" w:hAnsi="仿宋_GB2312" w:eastAsia="仿宋_GB2312" w:cs="仿宋_GB2312"/>
          <w:sz w:val="32"/>
          <w:szCs w:val="32"/>
        </w:rPr>
        <w:t xml:space="preserve"> 0478-852707</w:t>
      </w:r>
      <w:r>
        <w:rPr>
          <w:rFonts w:hint="eastAsia" w:ascii="仿宋_GB2312" w:hAnsi="仿宋_GB2312" w:eastAsia="仿宋_GB2312" w:cs="仿宋_GB2312"/>
          <w:sz w:val="32"/>
          <w:szCs w:val="32"/>
          <w:lang w:val="en-US" w:eastAsia="zh-CN"/>
        </w:rPr>
        <w:t>7</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九</w:t>
      </w:r>
      <w:r>
        <w:rPr>
          <w:rFonts w:hint="eastAsia" w:ascii="黑体" w:hAnsi="黑体" w:eastAsia="黑体" w:cs="黑体"/>
          <w:sz w:val="32"/>
          <w:szCs w:val="32"/>
        </w:rPr>
        <w:t>、监督投诉渠道</w:t>
      </w:r>
    </w:p>
    <w:p>
      <w:pPr>
        <w:spacing w:line="560" w:lineRule="exact"/>
        <w:ind w:firstLine="585"/>
        <w:rPr>
          <w:rFonts w:ascii="仿宋_GB2312" w:hAnsi="黑体" w:eastAsia="仿宋_GB2312"/>
          <w:sz w:val="32"/>
          <w:szCs w:val="32"/>
        </w:rPr>
      </w:pPr>
      <w:r>
        <w:rPr>
          <w:rFonts w:hint="eastAsia" w:ascii="仿宋_GB2312" w:hAnsi="黑体" w:eastAsia="仿宋_GB2312"/>
          <w:sz w:val="32"/>
          <w:szCs w:val="32"/>
        </w:rPr>
        <w:t>中国人民银行</w:t>
      </w:r>
      <w:r>
        <w:rPr>
          <w:rFonts w:hint="eastAsia" w:ascii="仿宋_GB2312" w:hAnsi="黑体" w:eastAsia="仿宋_GB2312"/>
          <w:sz w:val="32"/>
          <w:szCs w:val="32"/>
          <w:lang w:eastAsia="zh-CN"/>
        </w:rPr>
        <w:t>巴彦淖尔市分行法律事务科</w:t>
      </w:r>
      <w:r>
        <w:rPr>
          <w:rFonts w:hint="eastAsia" w:ascii="仿宋_GB2312" w:hAnsi="黑体" w:eastAsia="仿宋_GB2312"/>
          <w:sz w:val="32"/>
          <w:szCs w:val="32"/>
        </w:rPr>
        <w:t>对本行实施的行政许可进行监督，申请人可通过电话或实地进行投诉。</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lang w:eastAsia="zh-CN"/>
        </w:rPr>
        <w:t>二十</w:t>
      </w:r>
      <w:r>
        <w:rPr>
          <w:rFonts w:hint="eastAsia" w:ascii="黑体" w:hAnsi="黑体" w:eastAsia="黑体" w:cs="黑体"/>
          <w:sz w:val="32"/>
          <w:szCs w:val="32"/>
        </w:rPr>
        <w:t>、办公地址和时间</w:t>
      </w:r>
    </w:p>
    <w:p>
      <w:pPr>
        <w:pStyle w:val="2"/>
        <w:widowControl/>
        <w:numPr>
          <w:ilvl w:val="0"/>
          <w:numId w:val="6"/>
        </w:numPr>
        <w:kinsoku w:val="0"/>
        <w:wordWrap/>
        <w:autoSpaceDE w:val="0"/>
        <w:autoSpaceDN w:val="0"/>
        <w:adjustRightInd w:val="0"/>
        <w:snapToGrid w:val="0"/>
        <w:spacing w:line="560" w:lineRule="exact"/>
        <w:ind w:left="0" w:leftChars="0" w:right="0" w:firstLine="640" w:firstLineChars="200"/>
        <w:jc w:val="left"/>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办公地址：</w:t>
      </w:r>
    </w:p>
    <w:p>
      <w:pPr>
        <w:pStyle w:val="2"/>
        <w:widowControl/>
        <w:numPr>
          <w:numId w:val="0"/>
        </w:numPr>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内蒙古自治区</w:t>
      </w:r>
      <w:r>
        <w:rPr>
          <w:rFonts w:hint="eastAsia" w:ascii="仿宋_GB2312" w:hAnsi="仿宋_GB2312" w:eastAsia="仿宋_GB2312" w:cs="仿宋_GB2312"/>
          <w:sz w:val="32"/>
          <w:szCs w:val="32"/>
        </w:rPr>
        <w:t>巴彦淖尔市临河区新华东街36号</w:t>
      </w:r>
    </w:p>
    <w:p>
      <w:pPr>
        <w:pStyle w:val="2"/>
        <w:widowControl/>
        <w:numPr>
          <w:ilvl w:val="0"/>
          <w:numId w:val="6"/>
        </w:numPr>
        <w:kinsoku w:val="0"/>
        <w:wordWrap/>
        <w:autoSpaceDE w:val="0"/>
        <w:autoSpaceDN w:val="0"/>
        <w:adjustRightInd w:val="0"/>
        <w:snapToGrid w:val="0"/>
        <w:spacing w:line="560" w:lineRule="exact"/>
        <w:ind w:left="0" w:leftChars="0" w:right="0" w:firstLine="640" w:firstLineChars="200"/>
        <w:jc w:val="left"/>
        <w:textAlignment w:val="baseline"/>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办公时间：</w:t>
      </w:r>
    </w:p>
    <w:p>
      <w:pPr>
        <w:pStyle w:val="2"/>
        <w:widowControl/>
        <w:numPr>
          <w:numId w:val="0"/>
        </w:numPr>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法定工作日 8:30—11:30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14:30-17:30</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0"/>
        <w:rPr>
          <w:rFonts w:hint="eastAsia" w:ascii="黑体" w:hAnsi="黑体" w:eastAsia="黑体" w:cs="黑体"/>
          <w:sz w:val="32"/>
          <w:szCs w:val="32"/>
        </w:rPr>
      </w:pPr>
      <w:r>
        <w:rPr>
          <w:rFonts w:hint="eastAsia" w:ascii="黑体" w:hAnsi="黑体" w:eastAsia="黑体" w:cs="黑体"/>
          <w:sz w:val="32"/>
          <w:szCs w:val="32"/>
          <w:lang w:eastAsia="zh-CN"/>
        </w:rPr>
        <w:t>二十一</w:t>
      </w:r>
      <w:r>
        <w:rPr>
          <w:rFonts w:hint="eastAsia" w:ascii="黑体" w:hAnsi="黑体" w:eastAsia="黑体" w:cs="黑体"/>
          <w:sz w:val="32"/>
          <w:szCs w:val="32"/>
        </w:rPr>
        <w:t>、办理进程和结果公开查询</w:t>
      </w:r>
    </w:p>
    <w:p>
      <w:pPr>
        <w:pStyle w:val="2"/>
        <w:widowControl/>
        <w:kinsoku w:val="0"/>
        <w:wordWrap/>
        <w:autoSpaceDE w:val="0"/>
        <w:autoSpaceDN w:val="0"/>
        <w:adjustRightInd w:val="0"/>
        <w:snapToGrid w:val="0"/>
        <w:spacing w:line="560" w:lineRule="exact"/>
        <w:ind w:left="0" w:leftChars="0" w:right="0" w:firstLine="640" w:firstLineChars="20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申请人可通过电话或者中国人民银行内蒙古自治区分行</w:t>
      </w:r>
      <w:r>
        <w:rPr>
          <w:rFonts w:hint="eastAsia" w:ascii="仿宋_GB2312" w:hAnsi="仿宋_GB2312" w:eastAsia="仿宋_GB2312" w:cs="仿宋_GB2312"/>
          <w:sz w:val="32"/>
          <w:szCs w:val="32"/>
          <w:lang w:eastAsia="zh-CN"/>
        </w:rPr>
        <w:t>官方</w:t>
      </w:r>
      <w:r>
        <w:rPr>
          <w:rFonts w:hint="eastAsia" w:ascii="仿宋_GB2312" w:hAnsi="仿宋_GB2312" w:eastAsia="仿宋_GB2312" w:cs="仿宋_GB2312"/>
          <w:sz w:val="32"/>
          <w:szCs w:val="32"/>
        </w:rPr>
        <w:t>网站查询审批结果。</w:t>
      </w:r>
    </w:p>
    <w:p>
      <w:pPr>
        <w:spacing w:line="560" w:lineRule="exact"/>
        <w:ind w:firstLine="585"/>
        <w:outlineLvl w:val="0"/>
        <w:rPr>
          <w:rFonts w:ascii="仿宋_GB2312" w:hAnsi="黑体" w:eastAsia="仿宋_GB2312"/>
          <w:sz w:val="32"/>
          <w:szCs w:val="32"/>
        </w:rPr>
      </w:pPr>
      <w:r>
        <w:rPr>
          <w:rFonts w:hint="eastAsia" w:ascii="仿宋_GB2312" w:hAnsi="黑体" w:eastAsia="仿宋_GB2312"/>
          <w:sz w:val="32"/>
          <w:szCs w:val="32"/>
        </w:rPr>
        <w:t>附录：</w:t>
      </w:r>
      <w:r>
        <w:rPr>
          <w:rFonts w:hint="eastAsia" w:ascii="仿宋_GB2312" w:hAnsi="黑体" w:eastAsia="仿宋_GB2312"/>
          <w:sz w:val="32"/>
          <w:szCs w:val="32"/>
          <w:lang w:val="en-US" w:eastAsia="zh-CN"/>
        </w:rPr>
        <w:tab/>
      </w:r>
      <w:r>
        <w:rPr>
          <w:rFonts w:hint="eastAsia" w:ascii="仿宋_GB2312" w:hAnsi="黑体" w:eastAsia="仿宋_GB2312"/>
          <w:sz w:val="32"/>
          <w:szCs w:val="32"/>
        </w:rPr>
        <w:t>1.流程图</w:t>
      </w:r>
    </w:p>
    <w:p>
      <w:pPr>
        <w:spacing w:line="560" w:lineRule="exact"/>
        <w:outlineLvl w:val="0"/>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val="en-US" w:eastAsia="zh-CN"/>
        </w:rPr>
        <w:tab/>
      </w:r>
      <w:r>
        <w:rPr>
          <w:rFonts w:hint="eastAsia" w:ascii="仿宋_GB2312" w:hAnsi="黑体" w:eastAsia="仿宋_GB2312"/>
          <w:sz w:val="32"/>
          <w:szCs w:val="32"/>
        </w:rPr>
        <w:t>2.申请材料示范文本</w:t>
      </w:r>
    </w:p>
    <w:p>
      <w:pPr>
        <w:spacing w:line="560" w:lineRule="exact"/>
        <w:ind w:left="1260" w:firstLine="420"/>
        <w:outlineLvl w:val="0"/>
        <w:rPr>
          <w:rFonts w:ascii="仿宋_GB2312" w:hAnsi="黑体" w:eastAsia="仿宋_GB2312"/>
          <w:sz w:val="32"/>
          <w:szCs w:val="32"/>
        </w:rPr>
      </w:pPr>
      <w:r>
        <w:rPr>
          <w:rFonts w:hint="eastAsia" w:ascii="仿宋_GB2312" w:hAnsi="黑体" w:eastAsia="仿宋_GB2312"/>
          <w:sz w:val="32"/>
          <w:szCs w:val="32"/>
        </w:rPr>
        <w:t>3.常见错误示例</w:t>
      </w:r>
    </w:p>
    <w:p>
      <w:pPr>
        <w:spacing w:line="560" w:lineRule="exact"/>
        <w:ind w:left="1260" w:firstLine="420"/>
        <w:outlineLvl w:val="0"/>
        <w:rPr>
          <w:rFonts w:ascii="仿宋_GB2312" w:hAnsi="黑体" w:eastAsia="仿宋_GB2312"/>
          <w:sz w:val="32"/>
          <w:szCs w:val="32"/>
        </w:rPr>
      </w:pPr>
      <w:r>
        <w:rPr>
          <w:rFonts w:hint="eastAsia" w:ascii="仿宋_GB2312" w:hAnsi="黑体" w:eastAsia="仿宋_GB2312"/>
          <w:sz w:val="32"/>
          <w:szCs w:val="32"/>
        </w:rPr>
        <w:t>4.常见问题回答</w:t>
      </w:r>
    </w:p>
    <w:p>
      <w:pPr>
        <w:pStyle w:val="2"/>
        <w:spacing w:line="288" w:lineRule="auto"/>
      </w:pPr>
    </w:p>
    <w:p>
      <w:pPr>
        <w:pStyle w:val="2"/>
        <w:spacing w:line="288" w:lineRule="auto"/>
      </w:pPr>
    </w:p>
    <w:p>
      <w:pPr>
        <w:pStyle w:val="2"/>
        <w:spacing w:line="288" w:lineRule="auto"/>
      </w:pPr>
    </w:p>
    <w:p>
      <w:pPr>
        <w:pStyle w:val="2"/>
        <w:spacing w:line="288" w:lineRule="auto"/>
      </w:pPr>
    </w:p>
    <w:p>
      <w:pPr>
        <w:pStyle w:val="2"/>
        <w:spacing w:line="288" w:lineRule="auto"/>
      </w:pPr>
    </w:p>
    <w:p>
      <w:pPr>
        <w:pStyle w:val="2"/>
        <w:spacing w:line="288" w:lineRule="auto"/>
      </w:pPr>
    </w:p>
    <w:p>
      <w:pPr>
        <w:pStyle w:val="2"/>
        <w:spacing w:line="288" w:lineRule="auto"/>
      </w:pPr>
    </w:p>
    <w:p>
      <w:pPr>
        <w:pStyle w:val="2"/>
        <w:spacing w:line="288" w:lineRule="auto"/>
      </w:pPr>
    </w:p>
    <w:p>
      <w:pPr>
        <w:pStyle w:val="2"/>
        <w:spacing w:line="288" w:lineRule="auto"/>
      </w:pPr>
    </w:p>
    <w:p>
      <w:pPr>
        <w:pStyle w:val="2"/>
        <w:spacing w:line="288" w:lineRule="auto"/>
      </w:pPr>
    </w:p>
    <w:p>
      <w:pPr>
        <w:pStyle w:val="2"/>
        <w:spacing w:line="288" w:lineRule="auto"/>
      </w:pPr>
    </w:p>
    <w:p>
      <w:pPr>
        <w:pStyle w:val="2"/>
        <w:spacing w:line="288" w:lineRule="auto"/>
      </w:pPr>
    </w:p>
    <w:p>
      <w:pPr>
        <w:spacing w:line="560" w:lineRule="exact"/>
        <w:rPr>
          <w:rFonts w:hint="eastAsia" w:ascii="仿宋_GB2312" w:hAnsi="黑体" w:eastAsia="仿宋_GB2312"/>
          <w:sz w:val="30"/>
          <w:szCs w:val="30"/>
        </w:rPr>
      </w:pPr>
    </w:p>
    <w:p>
      <w:pPr>
        <w:spacing w:line="560" w:lineRule="exact"/>
        <w:rPr>
          <w:rFonts w:hint="eastAsia" w:ascii="仿宋_GB2312" w:hAnsi="黑体" w:eastAsia="仿宋_GB2312"/>
          <w:sz w:val="30"/>
          <w:szCs w:val="30"/>
        </w:rPr>
      </w:pPr>
    </w:p>
    <w:p>
      <w:pPr>
        <w:spacing w:line="560" w:lineRule="exact"/>
        <w:rPr>
          <w:rFonts w:ascii="仿宋_GB2312" w:hAnsi="黑体" w:eastAsia="仿宋_GB2312"/>
          <w:sz w:val="30"/>
          <w:szCs w:val="30"/>
        </w:rPr>
      </w:pPr>
      <w:r>
        <w:rPr>
          <w:rFonts w:hint="eastAsia" w:ascii="仿宋_GB2312" w:hAnsi="黑体" w:eastAsia="仿宋_GB2312"/>
          <w:sz w:val="30"/>
          <w:szCs w:val="30"/>
        </w:rPr>
        <w:t>附录1</w:t>
      </w:r>
    </w:p>
    <w:p>
      <w:pPr>
        <w:spacing w:line="560" w:lineRule="exact"/>
        <w:jc w:val="center"/>
        <w:outlineLvl w:val="0"/>
        <w:rPr>
          <w:rFonts w:ascii="方正小标宋简体" w:hAnsi="黑体" w:eastAsia="方正小标宋简体"/>
          <w:sz w:val="36"/>
          <w:szCs w:val="36"/>
        </w:rPr>
      </w:pPr>
      <w:r>
        <w:rPr>
          <w:rFonts w:hint="eastAsia" w:ascii="方正小标宋简体" w:hAnsi="黑体" w:eastAsia="方正小标宋简体"/>
          <w:sz w:val="36"/>
          <w:szCs w:val="36"/>
        </w:rPr>
        <w:t>流程图</w:t>
      </w:r>
    </w:p>
    <w:p>
      <w:pPr>
        <w:spacing w:line="560" w:lineRule="exact"/>
        <w:rPr>
          <w:rFonts w:ascii="方正小标宋简体" w:hAnsi="黑体" w:eastAsia="方正小标宋简体"/>
          <w:sz w:val="30"/>
          <w:szCs w:val="30"/>
        </w:rPr>
      </w:pPr>
      <w:r>
        <w:rPr>
          <w:rFonts w:ascii="方正小标宋简体" w:hAnsi="黑体" w:eastAsia="方正小标宋简体" w:cs="黑体"/>
          <w:snapToGrid w:val="0"/>
          <w:color w:val="000000"/>
          <w:kern w:val="2"/>
          <w:sz w:val="30"/>
          <w:szCs w:val="30"/>
          <w:lang w:val="en-US" w:eastAsia="zh-CN" w:bidi="ar-SA"/>
        </w:rPr>
        <w:pict>
          <v:group id="Group 95" o:spid="_x0000_s1029" style="position:absolute;left:0;margin-left:-7.8pt;margin-top:12pt;height:623.5pt;width:468.85pt;rotation:0f;z-index:251662336;" coordorigin="1644,2800" coordsize="9066,12470">
            <o:lock v:ext="edit" position="f" selection="f" grouping="f" rotation="f" cropping="f" text="f" aspectratio="f"/>
            <v:group id="Group 66" o:spid="_x0000_s1030" style="position:absolute;left:7725;top:6552;height:885;width:2550;rotation:0f;" coordorigin="7935,6840" coordsize="2550,885">
              <o:lock v:ext="edit" position="f" selection="f" grouping="f" rotation="f" cropping="f" text="f" aspectratio="f"/>
              <v:shape id="Quad Arrow 80" o:spid="_x0000_s1031" type="#_x0000_t202" style="position:absolute;left:8031;top:6957;height:768;width:2310;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both"/>
                        <w:rPr>
                          <w:spacing w:val="-6"/>
                          <w:sz w:val="18"/>
                          <w:szCs w:val="18"/>
                        </w:rPr>
                      </w:pPr>
                      <w:r>
                        <w:rPr>
                          <w:rFonts w:hint="eastAsia"/>
                          <w:spacing w:val="-6"/>
                          <w:sz w:val="18"/>
                          <w:szCs w:val="18"/>
                        </w:rPr>
                        <w:t>告知申请人补齐全部材料</w:t>
                      </w:r>
                      <w:r>
                        <w:rPr>
                          <w:rFonts w:hint="eastAsia" w:eastAsia="宋体"/>
                          <w:spacing w:val="-6"/>
                          <w:sz w:val="18"/>
                          <w:szCs w:val="18"/>
                          <w:lang w:eastAsia="zh-CN"/>
                        </w:rPr>
                        <w:t>，</w:t>
                      </w:r>
                      <w:r>
                        <w:rPr>
                          <w:rFonts w:hint="eastAsia"/>
                          <w:spacing w:val="-6"/>
                          <w:sz w:val="18"/>
                          <w:szCs w:val="18"/>
                        </w:rPr>
                        <w:t>出具补正告知书</w:t>
                      </w:r>
                    </w:p>
                  </w:txbxContent>
                </v:textbox>
              </v:shape>
              <v:rect id="Rectangle 79" o:spid="_x0000_s1032" style="position:absolute;left:7935;top:6840;height:885;width:255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v:group>
            <v:group id="Group 61" o:spid="_x0000_s1033" style="position:absolute;left:4800;top:2800;height:870;width:2550;rotation:0f;" coordorigin="4800,2800" coordsize="2550,870">
              <o:lock v:ext="edit" position="f" selection="f" grouping="f" rotation="f" cropping="f" text="f" aspectratio="f"/>
              <v:roundrect id="Rounded Rectangle 70" o:spid="_x0000_s1034" style="position:absolute;left:4800;top:2800;height:644;width:2550;rotation:0f;" o:ole="f" fillcolor="#FFFFFF" filled="t" o:preferrelative="t" stroked="t" coordsize="21600,21600" arcsize="16.6666666666667%">
                <v:stroke color="#000000" color2="#FFFFFF" miterlimit="2"/>
                <v:imagedata gain="65536f" blacklevel="0f" gamma="0"/>
                <o:lock v:ext="edit" position="f" selection="f" grouping="f" rotation="f" cropping="f" text="f" aspectratio="f"/>
              </v:roundrect>
              <v:shape id="Quad Arrow 71" o:spid="_x0000_s1035" type="#_x0000_t202" style="position:absolute;left:4881;top:2935;height:735;width:2310;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sz w:val="18"/>
                          <w:szCs w:val="18"/>
                        </w:rPr>
                      </w:pPr>
                      <w:r>
                        <w:rPr>
                          <w:rFonts w:hint="eastAsia"/>
                          <w:sz w:val="18"/>
                          <w:szCs w:val="18"/>
                        </w:rPr>
                        <w:t>申请人现场提交材料</w:t>
                      </w:r>
                    </w:p>
                  </w:txbxContent>
                </v:textbox>
              </v:shape>
            </v:group>
            <v:group id="Group 62" o:spid="_x0000_s1036" style="position:absolute;left:4758;top:3767;height:888;width:2550;rotation:0f;" coordorigin="4758,3767" coordsize="2550,888">
              <o:lock v:ext="edit" position="f" selection="f" grouping="f" rotation="f" cropping="f" text="f" aspectratio="f"/>
              <v:shape id="Quad Arrow 72" o:spid="_x0000_s1037" type="#_x0000_t202" style="position:absolute;left:4800;top:3890;height:765;width:2508;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spacing w:val="-11"/>
                          <w:sz w:val="18"/>
                          <w:szCs w:val="18"/>
                        </w:rPr>
                      </w:pPr>
                      <w:r>
                        <w:rPr>
                          <w:rFonts w:hint="eastAsia"/>
                          <w:spacing w:val="-11"/>
                          <w:sz w:val="18"/>
                          <w:szCs w:val="18"/>
                        </w:rPr>
                        <w:t>中国人民银行</w:t>
                      </w:r>
                      <w:r>
                        <w:rPr>
                          <w:rFonts w:hint="eastAsia" w:eastAsia="宋体"/>
                          <w:spacing w:val="-11"/>
                          <w:sz w:val="18"/>
                          <w:szCs w:val="18"/>
                          <w:lang w:eastAsia="zh-CN"/>
                        </w:rPr>
                        <w:t>巴彦淖尔市分行国库科</w:t>
                      </w:r>
                      <w:r>
                        <w:rPr>
                          <w:rFonts w:hint="eastAsia"/>
                          <w:spacing w:val="-11"/>
                          <w:sz w:val="18"/>
                          <w:szCs w:val="18"/>
                        </w:rPr>
                        <w:t>接收并审核申请材料</w:t>
                      </w:r>
                    </w:p>
                  </w:txbxContent>
                </v:textbox>
              </v:shape>
              <v:rect id="Rectangle 73" o:spid="_x0000_s1038" style="position:absolute;left:4758;top:3767;height:888;width:255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v:group>
            <v:group id="Group 64" o:spid="_x0000_s1039" style="position:absolute;left:1716;top:5335;height:905;width:3165;rotation:0f;" coordorigin="1865,5335" coordsize="2820,905">
              <o:lock v:ext="edit" position="f" selection="f" grouping="f" rotation="f" cropping="f" text="f" aspectratio="f"/>
              <v:shape id="Diamond 77" o:spid="_x0000_s1040" type="#_x0000_t4" style="position:absolute;left:1865;top:5335;height:905;width:282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Quad Arrow 78" o:spid="_x0000_s1041" type="#_x0000_t202" style="position:absolute;left:2219;top:5573;height:513;width:1995;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sz w:val="18"/>
                          <w:szCs w:val="18"/>
                        </w:rPr>
                      </w:pPr>
                      <w:r>
                        <w:rPr>
                          <w:rFonts w:hint="eastAsia"/>
                          <w:sz w:val="18"/>
                          <w:szCs w:val="18"/>
                        </w:rPr>
                        <w:t>材料齐全，符合法定形式</w:t>
                      </w:r>
                    </w:p>
                  </w:txbxContent>
                </v:textbox>
              </v:shape>
            </v:group>
            <v:group id="Group 65" o:spid="_x0000_s1042" style="position:absolute;left:7605;top:5344;height:812;width:2820;rotation:0f;" coordorigin="7605,5344" coordsize="2820,812">
              <o:lock v:ext="edit" position="f" selection="f" grouping="f" rotation="f" cropping="f" text="f" aspectratio="f"/>
              <v:shape id="Diamond 77" o:spid="_x0000_s1043" type="#_x0000_t4" style="position:absolute;left:7605;top:5344;height:812;width:282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Quad Arrow 82" o:spid="_x0000_s1044" type="#_x0000_t202" style="position:absolute;left:7785;top:5573;height:377;width:2466;rotation:0f;" o:ole="f" fillcolor="#FFFFFF" filled="f" o:preferrelative="t" stroked="f" coordorigin="0,0" coordsize="21600,21600">
                <v:fill on="f" color2="#FFFFFF" focus="0%"/>
                <v:imagedata gain="65536f" blacklevel="0f" gamma="0"/>
                <o:lock v:ext="edit" position="f" selection="f" grouping="f" rotation="f" cropping="f" text="f" aspectratio="f"/>
                <v:textbox style="mso-fit-shape-to-text:t;">
                  <w:txbxContent>
                    <w:p>
                      <w:pPr>
                        <w:rPr>
                          <w:sz w:val="18"/>
                          <w:szCs w:val="18"/>
                        </w:rPr>
                      </w:pPr>
                      <w:r>
                        <w:rPr>
                          <w:rFonts w:hint="eastAsia"/>
                          <w:sz w:val="18"/>
                          <w:szCs w:val="18"/>
                        </w:rPr>
                        <w:t>材料不全，不符合法定形式</w:t>
                      </w:r>
                    </w:p>
                  </w:txbxContent>
                </v:textbox>
              </v:shape>
            </v:group>
            <v:group id="Group 70" o:spid="_x0000_s1045" style="position:absolute;left:3576;top:7437;height:1290;width:2805;rotation:0f;" coordorigin="4230,7437" coordsize="2805,1290">
              <o:lock v:ext="edit" position="f" selection="f" grouping="f" rotation="f" cropping="f" text="f" aspectratio="f"/>
              <v:rect id="Rectangle 83" o:spid="_x0000_s1046" style="position:absolute;left:4230;top:7437;height:1290;width:2805;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v:shape id="Quad Arrow 84" o:spid="_x0000_s1047" type="#_x0000_t202" style="position:absolute;left:4352;top:7624;height:933;width:2526;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rFonts w:hint="eastAsia"/>
                          <w:szCs w:val="21"/>
                        </w:rPr>
                      </w:pPr>
                      <w:r>
                        <w:rPr>
                          <w:rFonts w:hint="eastAsia"/>
                          <w:szCs w:val="21"/>
                        </w:rPr>
                        <w:t>受理，并向申请人发出</w:t>
                      </w:r>
                    </w:p>
                    <w:p>
                      <w:pPr>
                        <w:rPr>
                          <w:szCs w:val="21"/>
                        </w:rPr>
                      </w:pPr>
                      <w:r>
                        <w:rPr>
                          <w:rFonts w:hint="eastAsia"/>
                          <w:szCs w:val="21"/>
                        </w:rPr>
                        <w:t>《行政许可受理通知书》</w:t>
                      </w:r>
                    </w:p>
                  </w:txbxContent>
                </v:textbox>
              </v:shape>
            </v:group>
            <v:group id="Group 76" o:spid="_x0000_s1048" style="position:absolute;left:3404;top:9252;height:1470;width:2820;rotation:0f;" coordorigin="3404,9252" coordsize="2820,1470">
              <o:lock v:ext="edit" position="f" selection="f" grouping="f" rotation="f" cropping="f" text="f" aspectratio="f"/>
              <v:shape id="Diamond 86" o:spid="_x0000_s1049" type="#_x0000_t4" style="position:absolute;left:3404;top:9252;height:1470;width:282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Quad Arrow 87" o:spid="_x0000_s1050" type="#_x0000_t202" style="position:absolute;left:3781;top:9600;height:930;width:1995;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szCs w:val="21"/>
                        </w:rPr>
                      </w:pPr>
                      <w:r>
                        <w:rPr>
                          <w:rFonts w:hint="eastAsia"/>
                          <w:szCs w:val="21"/>
                        </w:rPr>
                        <w:t>资格认定审批</w:t>
                      </w:r>
                    </w:p>
                    <w:p>
                      <w:pPr>
                        <w:jc w:val="center"/>
                        <w:rPr>
                          <w:szCs w:val="21"/>
                        </w:rPr>
                      </w:pPr>
                      <w:r>
                        <w:rPr>
                          <w:rFonts w:hint="eastAsia"/>
                          <w:szCs w:val="21"/>
                        </w:rPr>
                        <w:t>（15个工作日）</w:t>
                      </w:r>
                    </w:p>
                  </w:txbxContent>
                </v:textbox>
              </v:shape>
            </v:group>
            <v:shape id="Quad Arrow 89" o:spid="_x0000_s1051" type="#_x0000_t202" style="position:absolute;left:9294;top:7848;height:1314;width:1416;rotation:0f;"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rPr>
                        <w:sz w:val="18"/>
                        <w:szCs w:val="18"/>
                      </w:rPr>
                    </w:pPr>
                    <w:r>
                      <w:rPr>
                        <w:rFonts w:hint="eastAsia"/>
                        <w:sz w:val="18"/>
                        <w:szCs w:val="18"/>
                      </w:rPr>
                      <w:t>拒不补正，或逾期未补的，视为放弃行政许可申请</w:t>
                    </w:r>
                  </w:p>
                </w:txbxContent>
              </v:textbox>
            </v:shape>
            <v:group id="Group 79" o:spid="_x0000_s1052" style="position:absolute;left:1644;top:10899;height:909;width:2235;rotation:0f;" coordorigin="1644,10899" coordsize="2235,909">
              <o:lock v:ext="edit" position="f" selection="f" grouping="f" rotation="f" cropping="f" text="f" aspectratio="f"/>
              <v:rect id="Rectangle 92" o:spid="_x0000_s1053" style="position:absolute;left:1644;top:10899;height:849;width:2235;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v:shape id="Quad Arrow 94" o:spid="_x0000_s1054" type="#_x0000_t202" style="position:absolute;left:1716;top:11076;height:732;width:2115;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sz w:val="18"/>
                          <w:szCs w:val="18"/>
                        </w:rPr>
                      </w:pPr>
                      <w:r>
                        <w:rPr>
                          <w:rFonts w:hint="eastAsia"/>
                          <w:sz w:val="18"/>
                          <w:szCs w:val="18"/>
                        </w:rPr>
                        <w:t>颁发准予行政许可决定书</w:t>
                      </w:r>
                    </w:p>
                  </w:txbxContent>
                </v:textbox>
              </v:shape>
            </v:group>
            <v:shape id="Quad Arrow 96" o:spid="_x0000_s1055" type="#_x0000_t202" style="position:absolute;left:2219;top:10277;height:445;width:1239;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sz w:val="18"/>
                        <w:szCs w:val="18"/>
                      </w:rPr>
                    </w:pPr>
                    <w:r>
                      <w:rPr>
                        <w:rFonts w:hint="eastAsia"/>
                        <w:sz w:val="18"/>
                        <w:szCs w:val="18"/>
                      </w:rPr>
                      <w:t>认定通过</w:t>
                    </w:r>
                  </w:p>
                </w:txbxContent>
              </v:textbox>
            </v:shape>
            <v:shape id="Quad Arrow 97" o:spid="_x0000_s1056" type="#_x0000_t202" style="position:absolute;left:5940;top:10277;height:445;width:1239;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sz w:val="18"/>
                        <w:szCs w:val="18"/>
                      </w:rPr>
                    </w:pPr>
                    <w:r>
                      <w:rPr>
                        <w:rFonts w:hint="eastAsia"/>
                        <w:sz w:val="18"/>
                        <w:szCs w:val="18"/>
                      </w:rPr>
                      <w:t>认定未通过</w:t>
                    </w:r>
                  </w:p>
                </w:txbxContent>
              </v:textbox>
            </v:shape>
            <v:shape id="Straight Connector 101" o:spid="_x0000_s1057" type="#_x0000_t32" style="position:absolute;left:6063;top:3444;height:323;width:1;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shape id="Straight Connector 103" o:spid="_x0000_s1058" type="#_x0000_t32" style="position:absolute;left:4800;top:8727;height:525;width:1;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group id="Group 78" o:spid="_x0000_s1059" style="position:absolute;left:2894;top:9984;height:915;width:481;rotation:0f;" coordorigin="2203,10960" coordsize="481,915">
              <o:lock v:ext="edit" position="f" selection="f" grouping="f" rotation="f" cropping="f" text="f" aspectratio="f"/>
              <v:shape id="Straight Connector 91" o:spid="_x0000_s1060" type="#_x0000_t32" style="position:absolute;left:2218;top:10960;height:1;width:466;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Straight Connector 104" o:spid="_x0000_s1061" type="#_x0000_t32" style="position:absolute;left:2203;top:10960;height:915;width:1;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group>
            <v:group id="Group 77" o:spid="_x0000_s1062" style="position:absolute;left:6224;top:9983;height:916;width:467;rotation:0f;" coordorigin="6224,9983" coordsize="467,916">
              <o:lock v:ext="edit" position="f" selection="f" grouping="f" rotation="f" cropping="f" text="f" aspectratio="f"/>
              <v:shape id="Straight Connector 90" o:spid="_x0000_s1063" type="#_x0000_t32" style="position:absolute;left:6224;top:9983;height:1;width:466;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Straight Connector 105" o:spid="_x0000_s1064" type="#_x0000_t32" style="position:absolute;left:6690;top:9984;height:915;width:1;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group>
            <v:group id="Group 82" o:spid="_x0000_s1065" style="position:absolute;left:3135;top:12912;height:941;width:2550;rotation:0f;" coordorigin="3255,12439" coordsize="2550,941">
              <o:lock v:ext="edit" position="f" selection="f" grouping="f" rotation="f" cropping="f" text="f" aspectratio="f"/>
              <v:rect id="Rectangle 107" o:spid="_x0000_s1066" style="position:absolute;left:3255;top:12439;height:941;width:255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v:shape id="Quad Arrow 108" o:spid="_x0000_s1067" type="#_x0000_t202" style="position:absolute;left:3375;top:12540;height:768;width:2310;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szCs w:val="21"/>
                        </w:rPr>
                      </w:pPr>
                      <w:r>
                        <w:rPr>
                          <w:rFonts w:hint="eastAsia"/>
                          <w:szCs w:val="21"/>
                        </w:rPr>
                        <w:t>通知申请人领取或邮寄审批结果</w:t>
                      </w:r>
                    </w:p>
                  </w:txbxContent>
                </v:textbox>
              </v:shape>
            </v:group>
            <v:shape id="Straight Connector 110" o:spid="_x0000_s1068" type="#_x0000_t32" style="position:absolute;left:4574;top:12440;height:1;width:2172;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group id="Group 84" o:spid="_x0000_s1069" style="position:absolute;left:6746;top:12012;height:1203;width:2430;rotation:0f;" coordorigin="7995,12348" coordsize="2430,1203">
              <o:lock v:ext="edit" position="f" selection="f" grouping="f" rotation="f" cropping="f" text="f" aspectratio="f"/>
              <v:roundrect id="Rounded Rectangle 111" o:spid="_x0000_s1070" style="position:absolute;left:7995;top:12348;height:1185;width:2430;rotation:0f;" o:ole="f" fillcolor="#FFFFFF" filled="t" o:preferrelative="t" stroked="t" coordsize="21600,21600" arcsize="16.6666666666667%">
                <v:stroke color="#000000" color2="#FFFFFF" miterlimit="2"/>
                <v:imagedata gain="65536f" blacklevel="0f" gamma="0"/>
                <o:lock v:ext="edit" position="f" selection="f" grouping="f" rotation="f" cropping="f" text="f" aspectratio="f"/>
              </v:roundrect>
              <v:shape id="Quad Arrow 112" o:spid="_x0000_s1071" type="#_x0000_t202" style="position:absolute;left:8145;top:12439;height:1112;width:2130;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sz w:val="18"/>
                          <w:szCs w:val="18"/>
                        </w:rPr>
                      </w:pPr>
                      <w:r>
                        <w:rPr>
                          <w:rFonts w:hint="eastAsia"/>
                          <w:sz w:val="18"/>
                          <w:szCs w:val="18"/>
                        </w:rPr>
                        <w:t>通过人民银行内蒙古自治区分行网站或</w:t>
                      </w:r>
                      <w:r>
                        <w:rPr>
                          <w:rFonts w:hint="eastAsia" w:eastAsia="宋体"/>
                          <w:sz w:val="18"/>
                          <w:szCs w:val="18"/>
                          <w:lang w:eastAsia="zh-CN"/>
                        </w:rPr>
                        <w:t>市</w:t>
                      </w:r>
                      <w:r>
                        <w:rPr>
                          <w:rFonts w:hint="eastAsia"/>
                          <w:sz w:val="18"/>
                          <w:szCs w:val="18"/>
                        </w:rPr>
                        <w:t>分行办公场所公开审批结果</w:t>
                      </w:r>
                    </w:p>
                  </w:txbxContent>
                </v:textbox>
              </v:shape>
            </v:group>
            <v:shape id="Straight Connector 113" o:spid="_x0000_s1072" type="#_x0000_t32" style="position:absolute;left:4511;top:13853;height:487;width:1;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group id="Group 83" o:spid="_x0000_s1073" style="position:absolute;left:3255;top:14340;height:930;width:2430;rotation:0f;" coordorigin="3255,13740" coordsize="2430,930">
              <o:lock v:ext="edit" position="f" selection="f" grouping="f" rotation="f" cropping="f" text="f" aspectratio="f"/>
              <v:roundrect id="Rounded Rectangle 114" o:spid="_x0000_s1074" style="position:absolute;left:3255;top:13740;height:930;width:2430;rotation:0f;" o:ole="f" fillcolor="#FFFFFF" filled="t" o:preferrelative="t" stroked="t" coordsize="21600,21600" arcsize="16.6666666666667%">
                <v:stroke color="#000000" color2="#FFFFFF" miterlimit="2"/>
                <v:imagedata gain="65536f" blacklevel="0f" gamma="0"/>
                <o:lock v:ext="edit" position="f" selection="f" grouping="f" rotation="f" cropping="f" text="f" aspectratio="f"/>
              </v:roundrect>
              <v:shape id="Quad Arrow 115" o:spid="_x0000_s1075" type="#_x0000_t202" style="position:absolute;left:3458;top:13824;height:768;width:2115;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rFonts w:hint="eastAsia"/>
                          <w:szCs w:val="21"/>
                        </w:rPr>
                      </w:pPr>
                      <w:r>
                        <w:rPr>
                          <w:rFonts w:hint="eastAsia"/>
                          <w:szCs w:val="21"/>
                        </w:rPr>
                        <w:t>申请人取得审批结</w:t>
                      </w:r>
                    </w:p>
                    <w:p>
                      <w:pPr>
                        <w:rPr>
                          <w:szCs w:val="21"/>
                        </w:rPr>
                      </w:pPr>
                      <w:r>
                        <w:rPr>
                          <w:rFonts w:hint="eastAsia"/>
                          <w:szCs w:val="21"/>
                        </w:rPr>
                        <w:t>果</w:t>
                      </w:r>
                      <w:r>
                        <w:rPr>
                          <w:rFonts w:hint="eastAsia" w:eastAsia="宋体"/>
                          <w:szCs w:val="21"/>
                          <w:lang w:eastAsia="zh-CN"/>
                        </w:rPr>
                        <w:t>，</w:t>
                      </w:r>
                      <w:r>
                        <w:rPr>
                          <w:rFonts w:hint="eastAsia"/>
                          <w:szCs w:val="21"/>
                        </w:rPr>
                        <w:t>办结。</w:t>
                      </w:r>
                    </w:p>
                  </w:txbxContent>
                </v:textbox>
              </v:shape>
            </v:group>
            <v:shape id="Quad Arrow 119" o:spid="_x0000_s1076" type="#_x0000_t202" style="position:absolute;left:7350;top:7848;height:1314;width:1302;rotation:0f;"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rPr>
                        <w:sz w:val="18"/>
                        <w:szCs w:val="18"/>
                      </w:rPr>
                    </w:pPr>
                    <w:r>
                      <w:rPr>
                        <w:rFonts w:hint="eastAsia"/>
                        <w:sz w:val="18"/>
                        <w:szCs w:val="18"/>
                      </w:rPr>
                      <w:t>补正材料齐全，符合法定形式</w:t>
                    </w:r>
                  </w:p>
                </w:txbxContent>
              </v:textbox>
            </v:shape>
            <v:group id="Group 63" o:spid="_x0000_s1077" style="position:absolute;left:3255;top:4655;height:689;width:5793;rotation:0f;" coordorigin="3255,4655" coordsize="5793,689">
              <o:lock v:ext="edit" position="f" selection="f" grouping="f" rotation="f" cropping="f" text="f" aspectratio="f"/>
              <v:shape id="Straight Connector 56" o:spid="_x0000_s1078" type="#_x0000_t32" style="position:absolute;left:6061;top:4655;height:278;width:1;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Straight Connector 57" o:spid="_x0000_s1079" type="#_x0000_t32" style="position:absolute;left:3255;top:4921;flip:y;height:12;width:5793;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Straight Connector 58" o:spid="_x0000_s1080" type="#_x0000_t32" style="position:absolute;left:3255;top:4933;height:402;width:0;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shape id="Straight Connector 60" o:spid="_x0000_s1081" type="#_x0000_t32" style="position:absolute;left:9048;top:4942;height:402;width:0;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group>
            <v:shape id="Straight Connector 67" o:spid="_x0000_s1082" type="#_x0000_t32" style="position:absolute;left:9048;top:6156;height:396;width:0;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shape id="Straight Connector 68" o:spid="_x0000_s1083" type="#_x0000_t32" style="position:absolute;left:3255;top:6240;height:1776;width:0;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Straight Connector 72" o:spid="_x0000_s1084" type="#_x0000_t32" style="position:absolute;left:6381;top:8352;flip:x;height:0;width:966;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shape id="Straight Connector 74" o:spid="_x0000_s1085" type="#_x0000_t32" style="position:absolute;left:9795;top:7437;height:411;width:0;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shape id="Straight Connector 75" o:spid="_x0000_s1086" type="#_x0000_t32" style="position:absolute;left:8146;top:7437;height:411;width:0;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group id="Group 94" o:spid="_x0000_s1087" style="position:absolute;left:2523;top:11749;height:1163;width:4057;rotation:0f;" coordorigin="2523,11749" coordsize="4057,1163">
              <o:lock v:ext="edit" position="f" selection="f" grouping="f" rotation="f" cropping="f" text="f" aspectratio="f"/>
              <v:shape id="Straight Connector 98" o:spid="_x0000_s1088" type="#_x0000_t32" style="position:absolute;left:2523;top:11749;height:330;width:1;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Straight Connector 99" o:spid="_x0000_s1089" type="#_x0000_t32" style="position:absolute;left:6579;top:11749;height:330;width:1;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Straight Connector 100" o:spid="_x0000_s1090" type="#_x0000_t32" style="position:absolute;left:2525;top:12079;height:1;width:4055;rotation:0f;" o:ole="f" fillcolor="#FFFFFF" filled="t" o:preferrelative="t" stroked="t" coordorigin="0,0" coordsize="21600,21600">
                <v:stroke color="#000000" color2="#FFFFFF" miterlimit="2"/>
                <v:imagedata gain="65536f" blacklevel="0f" gamma="0"/>
                <o:lock v:ext="edit" position="f" selection="f" grouping="f" rotation="f" cropping="f" text="f" aspectratio="f"/>
              </v:shape>
              <v:shape id="Straight Connector 106" o:spid="_x0000_s1091" type="#_x0000_t32" style="position:absolute;left:4573;top:12080;height:832;width:1;rotation:0f;"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v:group>
          </v:group>
        </w:pic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ascii="仿宋_GB2312" w:hAnsi="黑体" w:eastAsia="仿宋_GB2312" w:cs="黑体"/>
          <w:snapToGrid w:val="0"/>
          <w:color w:val="000000"/>
          <w:kern w:val="2"/>
          <w:sz w:val="30"/>
          <w:szCs w:val="30"/>
          <w:lang w:val="en-US" w:eastAsia="zh-CN" w:bidi="ar-SA"/>
        </w:rPr>
        <w:pict>
          <v:shape id="Straight Connector 69" o:spid="_x0000_s1092" type="#_x0000_t32" style="position:absolute;left:0;margin-left:72.75pt;margin-top:20.8pt;height:0.05pt;width:16.05pt;rotation:0f;z-index:251660288;"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ascii="仿宋_GB2312" w:hAnsi="黑体" w:eastAsia="仿宋_GB2312" w:cs="黑体"/>
          <w:snapToGrid w:val="0"/>
          <w:color w:val="000000"/>
          <w:kern w:val="2"/>
          <w:sz w:val="30"/>
          <w:szCs w:val="30"/>
          <w:lang w:val="en-US" w:eastAsia="zh-CN" w:bidi="ar-SA"/>
        </w:rPr>
        <w:pict>
          <v:shape id="Straight Connector 73" o:spid="_x0000_s1093" type="#_x0000_t32" style="position:absolute;left:0;margin-left:408.75pt;margin-top:22.1pt;height:30.45pt;width:0.05pt;rotation:0f;z-index:251661312;" o:ole="f" fillcolor="#FFFFFF" filled="t" o:preferrelative="t" stroked="t" coordorigin="0,0" coordsize="21600,21600">
            <v:stroke color="#000000" color2="#FFFFFF" miterlimit="2" endarrow="block"/>
            <v:imagedata gain="65536f" blacklevel="0f" gamma="0"/>
            <o:lock v:ext="edit" position="f" selection="f" grouping="f" rotation="f" cropping="f" text="f" aspectratio="f"/>
          </v:shape>
        </w:pict>
      </w:r>
    </w:p>
    <w:p>
      <w:pPr>
        <w:spacing w:line="560" w:lineRule="exact"/>
        <w:rPr>
          <w:rFonts w:ascii="仿宋_GB2312" w:hAnsi="黑体" w:eastAsia="仿宋_GB2312"/>
          <w:sz w:val="30"/>
          <w:szCs w:val="30"/>
        </w:rPr>
      </w:pPr>
      <w:r>
        <w:rPr>
          <w:rFonts w:ascii="仿宋_GB2312" w:hAnsi="黑体" w:eastAsia="仿宋_GB2312" w:cs="黑体"/>
          <w:snapToGrid w:val="0"/>
          <w:color w:val="000000"/>
          <w:kern w:val="2"/>
          <w:sz w:val="30"/>
          <w:szCs w:val="30"/>
          <w:lang w:val="en-US" w:eastAsia="zh-CN" w:bidi="ar-SA"/>
        </w:rPr>
        <w:pict>
          <v:shape id="Quad Arrow 121" o:spid="_x0000_s1094" type="#_x0000_t202" style="position:absolute;left:0;margin-left:367.5pt;margin-top:24.55pt;height:69.45pt;width:91.65pt;rotation:0f;z-index:251659264;" o:ole="f"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textbox>
              <w:txbxContent>
                <w:p>
                  <w:pPr>
                    <w:rPr>
                      <w:sz w:val="18"/>
                      <w:szCs w:val="18"/>
                    </w:rPr>
                  </w:pPr>
                  <w:r>
                    <w:rPr>
                      <w:rFonts w:hint="eastAsia"/>
                      <w:sz w:val="18"/>
                      <w:szCs w:val="18"/>
                    </w:rPr>
                    <w:t>不予受理，并向申请人发出《不予受理</w:t>
                  </w:r>
                  <w:r>
                    <w:rPr>
                      <w:rFonts w:hint="eastAsia"/>
                      <w:sz w:val="18"/>
                      <w:szCs w:val="18"/>
                      <w:lang w:val="en-US" w:eastAsia="zh-CN"/>
                    </w:rPr>
                    <w:t>行政许可决定书</w:t>
                  </w:r>
                  <w:r>
                    <w:rPr>
                      <w:rFonts w:hint="eastAsia"/>
                      <w:sz w:val="18"/>
                      <w:szCs w:val="18"/>
                    </w:rPr>
                    <w:t>》，退回申请资料。</w:t>
                  </w:r>
                </w:p>
              </w:txbxContent>
            </v:textbox>
          </v:shape>
        </w:pic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ascii="方正小标宋简体" w:hAnsi="黑体" w:eastAsia="方正小标宋简体" w:cs="黑体"/>
          <w:snapToGrid w:val="0"/>
          <w:color w:val="000000"/>
          <w:kern w:val="2"/>
          <w:sz w:val="30"/>
          <w:szCs w:val="30"/>
          <w:lang w:val="en-US" w:eastAsia="zh-CN" w:bidi="ar-SA"/>
        </w:rPr>
        <w:pict>
          <v:group id="Group 80" o:spid="_x0000_s1095" style="position:absolute;left:0;margin-left:181.5pt;margin-top:24.95pt;height:42.45pt;width:111.75pt;rotation:0f;z-index:251658240;" coordorigin="5430,10899" coordsize="2235,849">
            <o:lock v:ext="edit" position="f" selection="f" grouping="f" rotation="f" cropping="f" text="f" aspectratio="f"/>
            <v:rect id="Rectangle 93" o:spid="_x0000_s1096" style="position:absolute;left:5430;top:10899;height:849;width:2235;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v:shape id="Quad Arrow 95" o:spid="_x0000_s1097" type="#_x0000_t202" style="position:absolute;left:5490;top:10968;height:684;width:2115;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jc w:val="center"/>
                      <w:rPr>
                        <w:sz w:val="18"/>
                        <w:szCs w:val="18"/>
                      </w:rPr>
                    </w:pPr>
                    <w:r>
                      <w:rPr>
                        <w:rFonts w:hint="eastAsia"/>
                        <w:sz w:val="18"/>
                        <w:szCs w:val="18"/>
                      </w:rPr>
                      <w:t>颁发不予行政许可决定书</w:t>
                    </w:r>
                  </w:p>
                </w:txbxContent>
              </v:textbox>
            </v:shape>
          </v:group>
        </w:pic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p>
    <w:p>
      <w:pPr>
        <w:pStyle w:val="2"/>
        <w:spacing w:line="288" w:lineRule="auto"/>
      </w:pPr>
    </w:p>
    <w:p>
      <w:pPr>
        <w:pStyle w:val="2"/>
        <w:spacing w:line="288" w:lineRule="auto"/>
      </w:pPr>
    </w:p>
    <w:p>
      <w:pPr>
        <w:spacing w:before="87" w:line="225" w:lineRule="auto"/>
        <w:ind w:left="9"/>
        <w:rPr>
          <w:rFonts w:hint="eastAsia" w:ascii="仿宋" w:hAnsi="仿宋" w:eastAsia="仿宋" w:cs="仿宋"/>
          <w:b/>
          <w:bCs/>
          <w:spacing w:val="-7"/>
          <w:sz w:val="27"/>
          <w:szCs w:val="27"/>
          <w:lang w:eastAsia="zh-CN"/>
        </w:rPr>
      </w:pPr>
    </w:p>
    <w:p>
      <w:pPr>
        <w:spacing w:line="560" w:lineRule="exact"/>
        <w:rPr>
          <w:rFonts w:ascii="仿宋_GB2312" w:hAnsi="黑体" w:eastAsia="仿宋_GB2312"/>
          <w:sz w:val="30"/>
          <w:szCs w:val="30"/>
        </w:rPr>
      </w:pPr>
      <w:r>
        <w:rPr>
          <w:rFonts w:hint="eastAsia" w:ascii="仿宋_GB2312" w:hAnsi="黑体" w:eastAsia="仿宋_GB2312"/>
          <w:sz w:val="30"/>
          <w:szCs w:val="30"/>
        </w:rPr>
        <w:t>附录2</w:t>
      </w:r>
    </w:p>
    <w:p>
      <w:pPr>
        <w:spacing w:line="560" w:lineRule="exact"/>
        <w:jc w:val="center"/>
        <w:outlineLvl w:val="0"/>
        <w:rPr>
          <w:rFonts w:ascii="方正小标宋_GBK" w:hAnsi="方正小标宋_GBK" w:eastAsia="方正小标宋_GBK"/>
          <w:sz w:val="36"/>
          <w:szCs w:val="36"/>
        </w:rPr>
      </w:pPr>
      <w:r>
        <w:rPr>
          <w:rFonts w:hint="eastAsia" w:ascii="方正小标宋_GBK" w:hAnsi="方正小标宋_GBK" w:eastAsia="方正小标宋_GBK"/>
          <w:sz w:val="36"/>
          <w:szCs w:val="36"/>
        </w:rPr>
        <w:t>申请材料示范文本</w:t>
      </w:r>
    </w:p>
    <w:p>
      <w:pPr>
        <w:widowControl/>
        <w:adjustRightInd w:val="0"/>
        <w:snapToGrid w:val="0"/>
        <w:spacing w:line="520" w:lineRule="atLeast"/>
        <w:outlineLvl w:val="0"/>
        <w:rPr>
          <w:rFonts w:ascii="仿宋_GB2312" w:hAnsi="方正小标宋_GBK" w:eastAsia="仿宋_GB2312"/>
          <w:sz w:val="30"/>
          <w:szCs w:val="30"/>
        </w:rPr>
      </w:pPr>
      <w:r>
        <w:rPr>
          <w:rFonts w:hint="eastAsia" w:ascii="仿宋_GB2312" w:hAnsi="方正小标宋_GBK" w:eastAsia="仿宋_GB2312" w:cs="Times New Roman"/>
          <w:kern w:val="0"/>
          <w:sz w:val="30"/>
          <w:szCs w:val="30"/>
        </w:rPr>
        <w:t>1、申请表</w:t>
      </w:r>
    </w:p>
    <w:tbl>
      <w:tblPr>
        <w:tblStyle w:val="7"/>
        <w:tblW w:w="88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9"/>
        <w:gridCol w:w="462"/>
        <w:gridCol w:w="360"/>
        <w:gridCol w:w="734"/>
        <w:gridCol w:w="391"/>
        <w:gridCol w:w="747"/>
        <w:gridCol w:w="498"/>
        <w:gridCol w:w="579"/>
        <w:gridCol w:w="53"/>
        <w:gridCol w:w="204"/>
        <w:gridCol w:w="120"/>
        <w:gridCol w:w="99"/>
        <w:gridCol w:w="268"/>
        <w:gridCol w:w="447"/>
        <w:gridCol w:w="543"/>
        <w:gridCol w:w="6"/>
        <w:gridCol w:w="443"/>
        <w:gridCol w:w="210"/>
        <w:gridCol w:w="360"/>
        <w:gridCol w:w="121"/>
        <w:gridCol w:w="1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8898" w:type="dxa"/>
            <w:gridSpan w:val="21"/>
            <w:vAlign w:val="center"/>
          </w:tcPr>
          <w:p>
            <w:pPr>
              <w:autoSpaceDN w:val="0"/>
              <w:jc w:val="center"/>
              <w:textAlignment w:val="center"/>
              <w:rPr>
                <w:rFonts w:ascii="方正小标宋_GBK" w:hAnsi="方正小标宋_GBK" w:eastAsia="方正小标宋_GBK"/>
                <w:color w:val="000000"/>
                <w:sz w:val="32"/>
              </w:rPr>
            </w:pPr>
            <w:r>
              <w:rPr>
                <w:rFonts w:ascii="方正小标宋_GBK" w:hAnsi="方正小标宋_GBK" w:eastAsia="方正小标宋_GBK"/>
                <w:color w:val="000000"/>
                <w:sz w:val="36"/>
                <w:szCs w:val="36"/>
              </w:rPr>
              <w:t>国库集中收付代理银行资格认定申请表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8898" w:type="dxa"/>
            <w:gridSpan w:val="21"/>
            <w:vAlign w:val="center"/>
          </w:tcPr>
          <w:p>
            <w:pPr>
              <w:autoSpaceDN w:val="0"/>
              <w:jc w:val="center"/>
              <w:textAlignment w:val="center"/>
              <w:rPr>
                <w:rFonts w:ascii="宋体" w:hAnsi="宋体"/>
                <w:color w:val="000000"/>
                <w:sz w:val="24"/>
              </w:rPr>
            </w:pPr>
            <w:r>
              <w:rPr>
                <w:rFonts w:ascii="宋体" w:hAnsi="宋体"/>
                <w:color w:val="000000"/>
                <w:sz w:val="24"/>
              </w:rPr>
              <w:t>申请日期：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2061" w:type="dxa"/>
            <w:gridSpan w:val="3"/>
            <w:tcBorders>
              <w:top w:val="single" w:color="000000" w:sz="4" w:space="0"/>
              <w:lef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申请机构全称</w:t>
            </w:r>
          </w:p>
        </w:tc>
        <w:tc>
          <w:tcPr>
            <w:tcW w:w="3425" w:type="dxa"/>
            <w:gridSpan w:val="9"/>
            <w:tcBorders>
              <w:top w:val="single" w:color="000000" w:sz="4" w:space="0"/>
              <w:left w:val="single" w:color="000000" w:sz="4" w:space="0"/>
              <w:right w:val="single" w:color="auto" w:sz="4" w:space="0"/>
            </w:tcBorders>
            <w:vAlign w:val="center"/>
          </w:tcPr>
          <w:p>
            <w:pPr>
              <w:autoSpaceDN w:val="0"/>
              <w:jc w:val="left"/>
              <w:textAlignment w:val="center"/>
              <w:rPr>
                <w:rFonts w:ascii="宋体" w:hAnsi="宋体"/>
                <w:color w:val="000000"/>
                <w:sz w:val="24"/>
              </w:rPr>
            </w:pPr>
          </w:p>
        </w:tc>
        <w:tc>
          <w:tcPr>
            <w:tcW w:w="1707" w:type="dxa"/>
            <w:gridSpan w:val="5"/>
            <w:tcBorders>
              <w:top w:val="single" w:color="000000" w:sz="4" w:space="0"/>
              <w:left w:val="single" w:color="000000" w:sz="4" w:space="0"/>
              <w:right w:val="single" w:color="auto" w:sz="4" w:space="0"/>
            </w:tcBorders>
            <w:vAlign w:val="center"/>
          </w:tcPr>
          <w:p>
            <w:pPr>
              <w:autoSpaceDN w:val="0"/>
              <w:jc w:val="left"/>
              <w:textAlignment w:val="center"/>
              <w:rPr>
                <w:rFonts w:ascii="宋体" w:hAnsi="宋体"/>
                <w:color w:val="000000"/>
                <w:sz w:val="24"/>
              </w:rPr>
            </w:pPr>
            <w:r>
              <w:rPr>
                <w:rFonts w:hint="eastAsia" w:ascii="宋体" w:hAnsi="宋体"/>
                <w:color w:val="000000"/>
                <w:sz w:val="24"/>
              </w:rPr>
              <w:t>机构行政级别</w:t>
            </w:r>
          </w:p>
        </w:tc>
        <w:tc>
          <w:tcPr>
            <w:tcW w:w="1705" w:type="dxa"/>
            <w:gridSpan w:val="4"/>
            <w:tcBorders>
              <w:top w:val="single" w:color="000000" w:sz="4" w:space="0"/>
              <w:left w:val="single" w:color="auto" w:sz="4" w:space="0"/>
              <w:right w:val="single" w:color="000000" w:sz="4" w:space="0"/>
            </w:tcBorders>
            <w:vAlign w:val="center"/>
          </w:tcPr>
          <w:p>
            <w:pPr>
              <w:autoSpaceDN w:val="0"/>
              <w:jc w:val="left"/>
              <w:textAlignment w:val="center"/>
              <w:rPr>
                <w:rFonts w:ascii="宋体" w:hAnsi="宋体"/>
                <w:color w:val="000000"/>
                <w:sz w:val="18"/>
                <w:szCs w:val="18"/>
              </w:rPr>
            </w:pPr>
            <w:r>
              <w:rPr>
                <w:rFonts w:hint="eastAsia" w:ascii="宋体" w:hAnsi="宋体"/>
                <w:color w:val="000000"/>
                <w:sz w:val="18"/>
                <w:szCs w:val="18"/>
              </w:rPr>
              <w:t>（如：</w:t>
            </w:r>
            <w:r>
              <w:rPr>
                <w:rFonts w:hint="eastAsia" w:ascii="宋体" w:hAnsi="宋体" w:eastAsia="宋体"/>
                <w:color w:val="000000"/>
                <w:sz w:val="18"/>
                <w:szCs w:val="18"/>
                <w:lang w:eastAsia="zh-CN"/>
              </w:rPr>
              <w:t>市</w:t>
            </w:r>
            <w:r>
              <w:rPr>
                <w:rFonts w:hint="eastAsia" w:ascii="宋体" w:hAnsi="宋体"/>
                <w:color w:val="000000"/>
                <w:sz w:val="18"/>
                <w:szCs w:val="18"/>
              </w:rPr>
              <w:t>一级分行）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2061" w:type="dxa"/>
            <w:gridSpan w:val="3"/>
            <w:tcBorders>
              <w:top w:val="single" w:color="000000" w:sz="4" w:space="0"/>
              <w:left w:val="single" w:color="000000"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法定代表人</w:t>
            </w:r>
          </w:p>
          <w:p>
            <w:pPr>
              <w:autoSpaceDN w:val="0"/>
              <w:jc w:val="left"/>
              <w:textAlignment w:val="center"/>
              <w:rPr>
                <w:rFonts w:ascii="宋体" w:hAnsi="宋体"/>
                <w:color w:val="000000"/>
                <w:sz w:val="24"/>
              </w:rPr>
            </w:pPr>
            <w:r>
              <w:rPr>
                <w:rFonts w:ascii="宋体" w:hAnsi="宋体"/>
                <w:color w:val="000000"/>
                <w:sz w:val="24"/>
              </w:rPr>
              <w:t>（主要负责人）</w:t>
            </w:r>
          </w:p>
        </w:tc>
        <w:tc>
          <w:tcPr>
            <w:tcW w:w="3425" w:type="dxa"/>
            <w:gridSpan w:val="9"/>
            <w:tcBorders>
              <w:top w:val="single" w:color="000000" w:sz="4" w:space="0"/>
              <w:left w:val="single" w:color="000000"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p>
        </w:tc>
        <w:tc>
          <w:tcPr>
            <w:tcW w:w="1707" w:type="dxa"/>
            <w:gridSpan w:val="5"/>
            <w:tcBorders>
              <w:top w:val="single" w:color="000000" w:sz="4" w:space="0"/>
              <w:left w:val="single" w:color="000000"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联系电话</w:t>
            </w:r>
          </w:p>
        </w:tc>
        <w:tc>
          <w:tcPr>
            <w:tcW w:w="1705" w:type="dxa"/>
            <w:gridSpan w:val="4"/>
            <w:tcBorders>
              <w:top w:val="single" w:color="000000" w:sz="4" w:space="0"/>
              <w:left w:val="single" w:color="000000" w:sz="4" w:space="0"/>
              <w:bottom w:val="single" w:color="auto" w:sz="4" w:space="0"/>
              <w:right w:val="single" w:color="000000" w:sz="4" w:space="0"/>
            </w:tcBorders>
            <w:vAlign w:val="center"/>
          </w:tcPr>
          <w:p>
            <w:pPr>
              <w:autoSpaceDN w:val="0"/>
              <w:jc w:val="left"/>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 w:hRule="atLeast"/>
        </w:trPr>
        <w:tc>
          <w:tcPr>
            <w:tcW w:w="2061" w:type="dxa"/>
            <w:gridSpan w:val="3"/>
            <w:tcBorders>
              <w:top w:val="single" w:color="auto"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hint="eastAsia" w:ascii="宋体" w:hAnsi="宋体"/>
                <w:color w:val="000000"/>
                <w:sz w:val="24"/>
              </w:rPr>
              <w:t>地址及邮编</w:t>
            </w:r>
          </w:p>
        </w:tc>
        <w:tc>
          <w:tcPr>
            <w:tcW w:w="6837" w:type="dxa"/>
            <w:gridSpan w:val="18"/>
            <w:tcBorders>
              <w:top w:val="single" w:color="auto"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8898" w:type="dxa"/>
            <w:gridSpan w:val="21"/>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申请业务种类和级次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trPr>
        <w:tc>
          <w:tcPr>
            <w:tcW w:w="4431"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rPr>
            </w:pPr>
            <w:r>
              <w:rPr>
                <w:rFonts w:ascii="宋体" w:hAnsi="宋体"/>
                <w:color w:val="000000"/>
                <w:sz w:val="24"/>
              </w:rPr>
              <w:t>□</w:t>
            </w:r>
            <w:r>
              <w:rPr>
                <w:rFonts w:ascii="宋体" w:hAnsi="宋体"/>
                <w:color w:val="000000"/>
              </w:rPr>
              <w:t>政府非税收入收缴业务</w:t>
            </w:r>
          </w:p>
        </w:tc>
        <w:tc>
          <w:tcPr>
            <w:tcW w:w="4467" w:type="dxa"/>
            <w:gridSpan w:val="1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rPr>
            </w:pPr>
            <w:r>
              <w:rPr>
                <w:rFonts w:ascii="宋体" w:hAnsi="宋体"/>
                <w:color w:val="000000"/>
                <w:sz w:val="24"/>
              </w:rPr>
              <w:t>□</w:t>
            </w:r>
            <w:r>
              <w:rPr>
                <w:rFonts w:ascii="宋体" w:hAnsi="宋体"/>
                <w:color w:val="000000"/>
              </w:rPr>
              <w:t>国库集中支付业务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5" w:hRule="atLeast"/>
        </w:trPr>
        <w:tc>
          <w:tcPr>
            <w:tcW w:w="4431" w:type="dxa"/>
            <w:gridSpan w:val="7"/>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olor w:val="000000"/>
                <w:sz w:val="24"/>
              </w:rPr>
            </w:pPr>
            <w:r>
              <w:rPr>
                <w:rFonts w:ascii="宋体" w:hAnsi="宋体" w:eastAsia="宋体" w:cs="黑体"/>
                <w:snapToGrid w:val="0"/>
                <w:color w:val="000000"/>
                <w:kern w:val="2"/>
                <w:sz w:val="24"/>
                <w:szCs w:val="22"/>
                <w:lang w:val="en-US" w:eastAsia="zh-CN" w:bidi="ar-SA"/>
              </w:rPr>
              <w:pict>
                <v:shape id="Quad Arrow 92" o:spid="_x0000_s1098" type="#_x0000_t202" style="position:absolute;left:0;margin-left:112.75pt;margin-top:3.65pt;height:50.6pt;width:96pt;rotation:0f;z-index:251665408;" o:ole="f" fillcolor="#FFFFFF" filled="t" o:preferrelative="t" stroked="f" coordorigin="0,0" coordsize="21600,21600">
                  <v:imagedata gain="65536f" blacklevel="0f" gamma="0"/>
                  <o:lock v:ext="edit" position="f" selection="f" grouping="f" rotation="f" cropping="f" text="f" aspectratio="f"/>
                  <v:textbox>
                    <w:txbxContent>
                      <w:p>
                        <w:pPr>
                          <w:rPr>
                            <w:color w:val="969696"/>
                          </w:rPr>
                        </w:pPr>
                        <w:r>
                          <w:rPr>
                            <w:rFonts w:hint="eastAsia"/>
                            <w:color w:val="969696"/>
                          </w:rPr>
                          <w:t>（根据勾选的级次填写对应</w:t>
                        </w:r>
                        <w:r>
                          <w:rPr>
                            <w:color w:val="969696"/>
                          </w:rPr>
                          <w:t>行政区域</w:t>
                        </w:r>
                        <w:r>
                          <w:rPr>
                            <w:rFonts w:hint="eastAsia"/>
                            <w:color w:val="969696"/>
                          </w:rPr>
                          <w:t>）</w:t>
                        </w:r>
                      </w:p>
                    </w:txbxContent>
                  </v:textbox>
                </v:shape>
              </w:pict>
            </w:r>
            <w:r>
              <w:rPr>
                <w:rFonts w:ascii="宋体" w:hAnsi="宋体"/>
                <w:color w:val="000000"/>
                <w:sz w:val="24"/>
              </w:rPr>
              <w:t>□省级：</w:t>
            </w:r>
            <w:r>
              <w:rPr>
                <w:rFonts w:ascii="宋体" w:hAnsi="宋体"/>
                <w:color w:val="000000"/>
                <w:sz w:val="24"/>
                <w:u w:val="single"/>
              </w:rPr>
              <w:t>　　　　　</w:t>
            </w:r>
            <w:r>
              <w:rPr>
                <w:rFonts w:ascii="宋体" w:hAnsi="宋体"/>
                <w:color w:val="000000"/>
                <w:sz w:val="24"/>
              </w:rPr>
              <w:br/>
            </w:r>
            <w:r>
              <w:rPr>
                <w:rFonts w:ascii="宋体" w:hAnsi="宋体"/>
                <w:color w:val="000000"/>
                <w:sz w:val="24"/>
              </w:rPr>
              <w:t>□市级：</w:t>
            </w:r>
            <w:r>
              <w:rPr>
                <w:rFonts w:ascii="宋体" w:hAnsi="宋体"/>
                <w:color w:val="000000"/>
                <w:sz w:val="24"/>
                <w:u w:val="single"/>
              </w:rPr>
              <w:t>　　　　　</w:t>
            </w:r>
            <w:r>
              <w:rPr>
                <w:rFonts w:ascii="宋体" w:hAnsi="宋体"/>
                <w:color w:val="000000"/>
                <w:sz w:val="24"/>
              </w:rPr>
              <w:br/>
            </w:r>
            <w:r>
              <w:rPr>
                <w:rFonts w:ascii="宋体" w:hAnsi="宋体"/>
                <w:color w:val="000000"/>
                <w:sz w:val="24"/>
              </w:rPr>
              <w:t>□</w:t>
            </w:r>
            <w:r>
              <w:rPr>
                <w:rFonts w:hint="eastAsia" w:ascii="宋体" w:hAnsi="宋体"/>
                <w:color w:val="000000"/>
                <w:sz w:val="24"/>
              </w:rPr>
              <w:t>旗</w:t>
            </w:r>
            <w:r>
              <w:rPr>
                <w:rFonts w:ascii="宋体" w:hAnsi="宋体"/>
                <w:color w:val="000000"/>
                <w:sz w:val="24"/>
              </w:rPr>
              <w:t>县</w:t>
            </w:r>
            <w:r>
              <w:rPr>
                <w:rFonts w:hint="eastAsia" w:ascii="宋体" w:hAnsi="宋体"/>
                <w:color w:val="000000"/>
                <w:sz w:val="24"/>
              </w:rPr>
              <w:t>区（市）</w:t>
            </w:r>
            <w:r>
              <w:rPr>
                <w:rFonts w:ascii="宋体" w:hAnsi="宋体"/>
                <w:color w:val="000000"/>
                <w:sz w:val="24"/>
              </w:rPr>
              <w:t>级：</w:t>
            </w:r>
            <w:r>
              <w:rPr>
                <w:rFonts w:ascii="宋体" w:hAnsi="宋体"/>
                <w:color w:val="000000"/>
                <w:sz w:val="24"/>
                <w:u w:val="single"/>
              </w:rPr>
              <w:t>　　　　　</w:t>
            </w:r>
          </w:p>
        </w:tc>
        <w:tc>
          <w:tcPr>
            <w:tcW w:w="4467" w:type="dxa"/>
            <w:gridSpan w:val="14"/>
            <w:tcBorders>
              <w:top w:val="single" w:color="000000" w:sz="4" w:space="0"/>
              <w:left w:val="single" w:color="000000" w:sz="4" w:space="0"/>
              <w:bottom w:val="single" w:color="000000" w:sz="4" w:space="0"/>
              <w:right w:val="single" w:color="000000" w:sz="4" w:space="0"/>
            </w:tcBorders>
            <w:vAlign w:val="center"/>
          </w:tcPr>
          <w:p>
            <w:pPr>
              <w:autoSpaceDN w:val="0"/>
              <w:spacing w:line="360" w:lineRule="auto"/>
              <w:jc w:val="left"/>
              <w:textAlignment w:val="center"/>
              <w:rPr>
                <w:rFonts w:ascii="宋体" w:hAnsi="宋体"/>
                <w:color w:val="000000"/>
                <w:sz w:val="24"/>
              </w:rPr>
            </w:pPr>
            <w:r>
              <w:rPr>
                <w:rFonts w:ascii="Calibri" w:hAnsi="Calibri" w:eastAsia="宋体" w:cs="黑体"/>
                <w:snapToGrid w:val="0"/>
                <w:color w:val="000000"/>
                <w:kern w:val="2"/>
                <w:sz w:val="21"/>
                <w:szCs w:val="22"/>
                <w:lang w:val="en-US" w:eastAsia="zh-CN" w:bidi="ar-SA"/>
              </w:rPr>
              <w:pict>
                <v:shape id="文本框 3" o:spid="_x0000_s1099" type="#_x0000_t202" style="position:absolute;left:0;margin-left:118.35pt;margin-top:7.35pt;height:50.6pt;width:96pt;rotation:0f;z-index:251664384;" o:ole="f" fillcolor="#FFFFFF" filled="t" o:preferrelative="t" stroked="f" coordorigin="0,0" coordsize="21600,21600">
                  <v:imagedata gain="65536f" blacklevel="0f" gamma="0"/>
                  <o:lock v:ext="edit" position="f" selection="f" grouping="f" rotation="f" cropping="f" text="f" aspectratio="f"/>
                  <v:textbox>
                    <w:txbxContent>
                      <w:p>
                        <w:pPr>
                          <w:rPr>
                            <w:color w:val="969696"/>
                          </w:rPr>
                        </w:pPr>
                        <w:r>
                          <w:rPr>
                            <w:rFonts w:hint="eastAsia"/>
                            <w:color w:val="969696"/>
                          </w:rPr>
                          <w:t>（根据勾选的级次填写对应</w:t>
                        </w:r>
                        <w:r>
                          <w:rPr>
                            <w:color w:val="969696"/>
                          </w:rPr>
                          <w:t>行政区域</w:t>
                        </w:r>
                        <w:r>
                          <w:rPr>
                            <w:rFonts w:hint="eastAsia"/>
                            <w:color w:val="969696"/>
                          </w:rPr>
                          <w:t>）</w:t>
                        </w:r>
                      </w:p>
                    </w:txbxContent>
                  </v:textbox>
                </v:shape>
              </w:pict>
            </w:r>
            <w:r>
              <w:rPr>
                <w:rFonts w:ascii="宋体" w:hAnsi="宋体"/>
                <w:color w:val="000000"/>
                <w:sz w:val="24"/>
              </w:rPr>
              <w:t>□省级：</w:t>
            </w:r>
            <w:r>
              <w:rPr>
                <w:rFonts w:ascii="宋体" w:hAnsi="宋体"/>
                <w:color w:val="000000"/>
                <w:sz w:val="24"/>
                <w:u w:val="single"/>
              </w:rPr>
              <w:t>　　　　　</w:t>
            </w:r>
            <w:r>
              <w:rPr>
                <w:rFonts w:ascii="宋体" w:hAnsi="宋体"/>
                <w:color w:val="000000"/>
                <w:sz w:val="24"/>
              </w:rPr>
              <w:br/>
            </w:r>
            <w:r>
              <w:rPr>
                <w:rFonts w:ascii="宋体" w:hAnsi="宋体"/>
                <w:color w:val="000000"/>
                <w:sz w:val="24"/>
              </w:rPr>
              <w:t>□市级：</w:t>
            </w:r>
            <w:r>
              <w:rPr>
                <w:rFonts w:ascii="宋体" w:hAnsi="宋体"/>
                <w:color w:val="000000"/>
                <w:sz w:val="24"/>
                <w:u w:val="single"/>
              </w:rPr>
              <w:t>　　　　　</w:t>
            </w:r>
            <w:r>
              <w:rPr>
                <w:rFonts w:ascii="宋体" w:hAnsi="宋体"/>
                <w:color w:val="000000"/>
                <w:sz w:val="24"/>
              </w:rPr>
              <w:br/>
            </w:r>
            <w:r>
              <w:rPr>
                <w:rFonts w:ascii="宋体" w:hAnsi="宋体"/>
                <w:color w:val="000000"/>
                <w:sz w:val="24"/>
              </w:rPr>
              <w:t>□</w:t>
            </w:r>
            <w:r>
              <w:rPr>
                <w:rFonts w:hint="eastAsia" w:ascii="宋体" w:hAnsi="宋体"/>
                <w:color w:val="000000"/>
                <w:sz w:val="24"/>
              </w:rPr>
              <w:t>旗</w:t>
            </w:r>
            <w:r>
              <w:rPr>
                <w:rFonts w:ascii="宋体" w:hAnsi="宋体"/>
                <w:color w:val="000000"/>
                <w:sz w:val="24"/>
              </w:rPr>
              <w:t>县</w:t>
            </w:r>
            <w:r>
              <w:rPr>
                <w:rFonts w:hint="eastAsia" w:ascii="宋体" w:hAnsi="宋体"/>
                <w:color w:val="000000"/>
                <w:sz w:val="24"/>
              </w:rPr>
              <w:t>区（市）</w:t>
            </w:r>
            <w:r>
              <w:rPr>
                <w:rFonts w:ascii="宋体" w:hAnsi="宋体"/>
                <w:color w:val="000000"/>
                <w:sz w:val="24"/>
              </w:rPr>
              <w:t>级：</w:t>
            </w:r>
            <w:r>
              <w:rPr>
                <w:rFonts w:ascii="宋体" w:hAnsi="宋体"/>
                <w:color w:val="000000"/>
                <w:sz w:val="24"/>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1239" w:type="dxa"/>
            <w:vMerge w:val="restart"/>
            <w:tcBorders>
              <w:left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政府非税收入收缴业务</w:t>
            </w:r>
          </w:p>
        </w:tc>
        <w:tc>
          <w:tcPr>
            <w:tcW w:w="15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rPr>
            </w:pPr>
            <w:r>
              <w:rPr>
                <w:rFonts w:ascii="宋体" w:hAnsi="宋体"/>
                <w:color w:val="000000"/>
              </w:rPr>
              <w:t>主要负责部门</w:t>
            </w:r>
          </w:p>
        </w:tc>
        <w:tc>
          <w:tcPr>
            <w:tcW w:w="1636" w:type="dxa"/>
            <w:gridSpan w:val="3"/>
            <w:tcBorders>
              <w:left w:val="single" w:color="000000" w:sz="4" w:space="0"/>
              <w:bottom w:val="single" w:color="000000" w:sz="4" w:space="0"/>
              <w:right w:val="single" w:color="auto" w:sz="4" w:space="0"/>
            </w:tcBorders>
            <w:vAlign w:val="center"/>
          </w:tcPr>
          <w:p>
            <w:pPr>
              <w:autoSpaceDN w:val="0"/>
              <w:jc w:val="left"/>
              <w:textAlignment w:val="center"/>
              <w:rPr>
                <w:rFonts w:ascii="宋体" w:hAnsi="宋体"/>
                <w:color w:val="000000"/>
                <w:sz w:val="24"/>
              </w:rPr>
            </w:pPr>
          </w:p>
        </w:tc>
        <w:tc>
          <w:tcPr>
            <w:tcW w:w="1323" w:type="dxa"/>
            <w:gridSpan w:val="6"/>
            <w:tcBorders>
              <w:top w:val="single" w:color="auto"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color w:val="000000"/>
              </w:rPr>
            </w:pPr>
            <w:r>
              <w:rPr>
                <w:rFonts w:ascii="宋体" w:hAnsi="宋体"/>
                <w:color w:val="000000"/>
              </w:rPr>
              <w:t>主要负责人</w:t>
            </w:r>
          </w:p>
        </w:tc>
        <w:tc>
          <w:tcPr>
            <w:tcW w:w="990" w:type="dxa"/>
            <w:gridSpan w:val="2"/>
            <w:tcBorders>
              <w:top w:val="single" w:color="auto" w:sz="4" w:space="0"/>
              <w:bottom w:val="single" w:color="auto" w:sz="4" w:space="0"/>
              <w:right w:val="single" w:color="000000" w:sz="4" w:space="0"/>
            </w:tcBorders>
            <w:vAlign w:val="center"/>
          </w:tcPr>
          <w:p>
            <w:pPr>
              <w:autoSpaceDN w:val="0"/>
              <w:jc w:val="left"/>
              <w:textAlignment w:val="center"/>
              <w:rPr>
                <w:rFonts w:ascii="宋体" w:hAnsi="宋体"/>
                <w:color w:val="000000"/>
              </w:rPr>
            </w:pPr>
          </w:p>
        </w:tc>
        <w:tc>
          <w:tcPr>
            <w:tcW w:w="1140" w:type="dxa"/>
            <w:gridSpan w:val="5"/>
            <w:tcBorders>
              <w:top w:val="single" w:color="auto" w:sz="4" w:space="0"/>
              <w:bottom w:val="single" w:color="auto" w:sz="4" w:space="0"/>
            </w:tcBorders>
            <w:vAlign w:val="center"/>
          </w:tcPr>
          <w:p>
            <w:pPr>
              <w:autoSpaceDN w:val="0"/>
              <w:jc w:val="left"/>
              <w:textAlignment w:val="center"/>
              <w:rPr>
                <w:rFonts w:ascii="宋体" w:hAnsi="宋体"/>
                <w:color w:val="000000"/>
              </w:rPr>
            </w:pPr>
            <w:r>
              <w:rPr>
                <w:rFonts w:ascii="宋体" w:hAnsi="宋体"/>
                <w:color w:val="000000"/>
              </w:rPr>
              <w:t>联系电话</w:t>
            </w:r>
          </w:p>
        </w:tc>
        <w:tc>
          <w:tcPr>
            <w:tcW w:w="1014" w:type="dxa"/>
            <w:tcBorders>
              <w:top w:val="single" w:color="auto" w:sz="4" w:space="0"/>
              <w:left w:val="single" w:color="000000" w:sz="4" w:space="0"/>
              <w:bottom w:val="single" w:color="auto" w:sz="4" w:space="0"/>
              <w:right w:val="single" w:color="auto" w:sz="4" w:space="0"/>
            </w:tcBorders>
            <w:vAlign w:val="bottom"/>
          </w:tcPr>
          <w:p>
            <w:pPr>
              <w:autoSpaceDN w:val="0"/>
              <w:jc w:val="left"/>
              <w:textAlignment w:val="bottom"/>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1" w:hRule="atLeast"/>
        </w:trPr>
        <w:tc>
          <w:tcPr>
            <w:tcW w:w="1239" w:type="dxa"/>
            <w:vMerge w:val="continue"/>
            <w:tcBorders>
              <w:left w:val="single" w:color="000000" w:sz="4" w:space="0"/>
              <w:right w:val="single" w:color="000000" w:sz="4" w:space="0"/>
            </w:tcBorders>
            <w:vAlign w:val="center"/>
          </w:tcPr>
          <w:p/>
        </w:tc>
        <w:tc>
          <w:tcPr>
            <w:tcW w:w="1556" w:type="dxa"/>
            <w:gridSpan w:val="3"/>
            <w:tcBorders>
              <w:bottom w:val="single" w:color="000000" w:sz="4" w:space="0"/>
            </w:tcBorders>
            <w:vAlign w:val="center"/>
          </w:tcPr>
          <w:p>
            <w:pPr>
              <w:autoSpaceDN w:val="0"/>
              <w:jc w:val="left"/>
              <w:textAlignment w:val="center"/>
              <w:rPr>
                <w:rFonts w:ascii="宋体" w:hAnsi="宋体"/>
                <w:color w:val="000000"/>
              </w:rPr>
            </w:pPr>
            <w:r>
              <w:rPr>
                <w:rFonts w:ascii="宋体" w:hAnsi="宋体"/>
                <w:color w:val="000000"/>
              </w:rPr>
              <w:t>网点数量</w:t>
            </w:r>
          </w:p>
        </w:tc>
        <w:tc>
          <w:tcPr>
            <w:tcW w:w="2215" w:type="dxa"/>
            <w:gridSpan w:val="4"/>
            <w:tcBorders>
              <w:left w:val="single" w:color="000000" w:sz="4" w:space="0"/>
              <w:bottom w:val="single" w:color="000000" w:sz="4" w:space="0"/>
              <w:right w:val="single" w:color="auto" w:sz="4" w:space="0"/>
            </w:tcBorders>
            <w:vAlign w:val="center"/>
          </w:tcPr>
          <w:p>
            <w:pPr>
              <w:autoSpaceDN w:val="0"/>
              <w:jc w:val="left"/>
              <w:textAlignment w:val="center"/>
              <w:rPr>
                <w:rFonts w:ascii="宋体" w:hAnsi="宋体"/>
                <w:color w:val="000000"/>
                <w:sz w:val="13"/>
                <w:szCs w:val="13"/>
              </w:rPr>
            </w:pPr>
            <w:r>
              <w:rPr>
                <w:rFonts w:ascii="宋体" w:hAnsi="宋体"/>
                <w:color w:val="969696"/>
                <w:sz w:val="13"/>
                <w:szCs w:val="13"/>
              </w:rPr>
              <w:t>（</w:t>
            </w:r>
            <w:r>
              <w:rPr>
                <w:rFonts w:hint="eastAsia" w:ascii="宋体" w:hAnsi="宋体"/>
                <w:color w:val="969696"/>
                <w:sz w:val="13"/>
                <w:szCs w:val="13"/>
              </w:rPr>
              <w:t>申请机构下辖</w:t>
            </w:r>
            <w:r>
              <w:rPr>
                <w:rFonts w:ascii="宋体" w:hAnsi="宋体"/>
                <w:color w:val="969696"/>
                <w:sz w:val="13"/>
                <w:szCs w:val="13"/>
              </w:rPr>
              <w:t>拟办理</w:t>
            </w:r>
            <w:r>
              <w:rPr>
                <w:rFonts w:hint="eastAsia" w:ascii="宋体" w:hAnsi="宋体"/>
                <w:color w:val="969696"/>
                <w:sz w:val="13"/>
                <w:szCs w:val="13"/>
              </w:rPr>
              <w:t>非税收入收缴</w:t>
            </w:r>
            <w:r>
              <w:rPr>
                <w:rFonts w:ascii="宋体" w:hAnsi="宋体"/>
                <w:color w:val="969696"/>
                <w:sz w:val="13"/>
                <w:szCs w:val="13"/>
              </w:rPr>
              <w:t>业务的网点数量）</w:t>
            </w:r>
          </w:p>
        </w:tc>
        <w:tc>
          <w:tcPr>
            <w:tcW w:w="1740" w:type="dxa"/>
            <w:gridSpan w:val="8"/>
            <w:tcBorders>
              <w:left w:val="single" w:color="auto" w:sz="4" w:space="0"/>
              <w:bottom w:val="single" w:color="000000" w:sz="4" w:space="0"/>
              <w:right w:val="single" w:color="auto" w:sz="4" w:space="0"/>
            </w:tcBorders>
            <w:vAlign w:val="center"/>
          </w:tcPr>
          <w:p>
            <w:pPr>
              <w:autoSpaceDN w:val="0"/>
              <w:jc w:val="left"/>
              <w:textAlignment w:val="center"/>
              <w:rPr>
                <w:rFonts w:ascii="宋体" w:hAnsi="宋体"/>
                <w:color w:val="000000"/>
                <w:sz w:val="24"/>
              </w:rPr>
            </w:pPr>
            <w:r>
              <w:rPr>
                <w:rFonts w:hint="eastAsia" w:ascii="宋体" w:hAnsi="宋体"/>
                <w:color w:val="000000"/>
                <w:sz w:val="24"/>
              </w:rPr>
              <w:t>从业人数</w:t>
            </w:r>
          </w:p>
        </w:tc>
        <w:tc>
          <w:tcPr>
            <w:tcW w:w="2148" w:type="dxa"/>
            <w:gridSpan w:val="5"/>
            <w:tcBorders>
              <w:left w:val="single" w:color="auto" w:sz="4" w:space="0"/>
              <w:bottom w:val="single" w:color="000000" w:sz="4" w:space="0"/>
              <w:right w:val="single" w:color="000000" w:sz="4" w:space="0"/>
            </w:tcBorders>
            <w:vAlign w:val="center"/>
          </w:tcPr>
          <w:p>
            <w:pPr>
              <w:autoSpaceDN w:val="0"/>
              <w:jc w:val="left"/>
              <w:textAlignment w:val="center"/>
              <w:rPr>
                <w:rFonts w:ascii="宋体" w:hAnsi="宋体"/>
                <w:color w:val="000000"/>
                <w:sz w:val="13"/>
                <w:szCs w:val="13"/>
              </w:rPr>
            </w:pPr>
            <w:r>
              <w:rPr>
                <w:rFonts w:ascii="宋体" w:hAnsi="宋体"/>
                <w:color w:val="969696"/>
                <w:sz w:val="13"/>
                <w:szCs w:val="13"/>
              </w:rPr>
              <w:t>（</w:t>
            </w:r>
            <w:r>
              <w:rPr>
                <w:rFonts w:hint="eastAsia" w:ascii="宋体" w:hAnsi="宋体"/>
                <w:color w:val="969696"/>
                <w:sz w:val="13"/>
                <w:szCs w:val="13"/>
              </w:rPr>
              <w:t>对应</w:t>
            </w:r>
            <w:r>
              <w:rPr>
                <w:rFonts w:ascii="宋体" w:hAnsi="宋体"/>
                <w:color w:val="969696"/>
                <w:sz w:val="13"/>
                <w:szCs w:val="13"/>
              </w:rPr>
              <w:t>上述网点中拟办理非税收入收缴业务的人员数量）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 w:hRule="atLeast"/>
        </w:trPr>
        <w:tc>
          <w:tcPr>
            <w:tcW w:w="1239" w:type="dxa"/>
            <w:vMerge w:val="continue"/>
            <w:tcBorders>
              <w:left w:val="single" w:color="000000" w:sz="4" w:space="0"/>
              <w:right w:val="single" w:color="000000" w:sz="4" w:space="0"/>
            </w:tcBorders>
            <w:vAlign w:val="center"/>
          </w:tcPr>
          <w:p/>
        </w:tc>
        <w:tc>
          <w:tcPr>
            <w:tcW w:w="1556" w:type="dxa"/>
            <w:gridSpan w:val="3"/>
            <w:vMerge w:val="restart"/>
            <w:vAlign w:val="center"/>
          </w:tcPr>
          <w:p>
            <w:pPr>
              <w:autoSpaceDN w:val="0"/>
              <w:jc w:val="left"/>
              <w:textAlignment w:val="center"/>
              <w:rPr>
                <w:rFonts w:ascii="宋体" w:hAnsi="宋体"/>
                <w:color w:val="000000"/>
                <w:sz w:val="18"/>
                <w:szCs w:val="18"/>
              </w:rPr>
            </w:pPr>
            <w:r>
              <w:rPr>
                <w:rFonts w:ascii="宋体" w:hAnsi="宋体"/>
                <w:color w:val="000000"/>
              </w:rPr>
              <w:t>办理</w:t>
            </w:r>
            <w:r>
              <w:rPr>
                <w:rFonts w:hint="eastAsia" w:ascii="宋体" w:hAnsi="宋体"/>
                <w:color w:val="000000"/>
              </w:rPr>
              <w:t>非税收入收缴</w:t>
            </w:r>
            <w:r>
              <w:rPr>
                <w:rFonts w:ascii="宋体" w:hAnsi="宋体"/>
                <w:color w:val="000000"/>
              </w:rPr>
              <w:t>业务网点</w:t>
            </w:r>
          </w:p>
        </w:tc>
        <w:tc>
          <w:tcPr>
            <w:tcW w:w="2472" w:type="dxa"/>
            <w:gridSpan w:val="6"/>
            <w:tcBorders>
              <w:top w:val="single" w:color="000000" w:sz="4" w:space="0"/>
              <w:left w:val="single" w:color="000000" w:sz="4" w:space="0"/>
              <w:bottom w:val="single" w:color="auto" w:sz="4" w:space="0"/>
              <w:right w:val="single" w:color="auto" w:sz="4" w:space="0"/>
            </w:tcBorders>
            <w:vAlign w:val="center"/>
          </w:tcPr>
          <w:p>
            <w:pPr>
              <w:autoSpaceDN w:val="0"/>
              <w:jc w:val="center"/>
              <w:textAlignment w:val="center"/>
              <w:rPr>
                <w:rFonts w:ascii="宋体" w:hAnsi="宋体"/>
                <w:color w:val="000000"/>
              </w:rPr>
            </w:pPr>
            <w:r>
              <w:rPr>
                <w:rFonts w:hint="eastAsia" w:ascii="宋体" w:hAnsi="宋体"/>
                <w:color w:val="000000"/>
              </w:rPr>
              <w:t>网点名称</w:t>
            </w:r>
          </w:p>
        </w:tc>
        <w:tc>
          <w:tcPr>
            <w:tcW w:w="2136" w:type="dxa"/>
            <w:gridSpan w:val="8"/>
            <w:tcBorders>
              <w:top w:val="single" w:color="000000" w:sz="4" w:space="0"/>
              <w:left w:val="single" w:color="auto" w:sz="4" w:space="0"/>
              <w:bottom w:val="single" w:color="auto" w:sz="4" w:space="0"/>
              <w:right w:val="single" w:color="auto" w:sz="4" w:space="0"/>
            </w:tcBorders>
            <w:vAlign w:val="center"/>
          </w:tcPr>
          <w:p>
            <w:pPr>
              <w:autoSpaceDN w:val="0"/>
              <w:jc w:val="center"/>
              <w:textAlignment w:val="center"/>
              <w:rPr>
                <w:rFonts w:ascii="宋体" w:hAnsi="宋体"/>
                <w:color w:val="000000"/>
              </w:rPr>
            </w:pPr>
            <w:r>
              <w:rPr>
                <w:rFonts w:hint="eastAsia" w:ascii="宋体" w:hAnsi="宋体"/>
                <w:color w:val="000000"/>
              </w:rPr>
              <w:t>地址</w:t>
            </w:r>
          </w:p>
        </w:tc>
        <w:tc>
          <w:tcPr>
            <w:tcW w:w="1495" w:type="dxa"/>
            <w:gridSpan w:val="3"/>
            <w:tcBorders>
              <w:top w:val="single" w:color="000000" w:sz="4" w:space="0"/>
              <w:left w:val="single" w:color="auto" w:sz="4" w:space="0"/>
              <w:bottom w:val="single" w:color="auto" w:sz="4" w:space="0"/>
              <w:right w:val="single" w:color="000000" w:sz="4" w:space="0"/>
            </w:tcBorders>
            <w:vAlign w:val="center"/>
          </w:tcPr>
          <w:p>
            <w:pPr>
              <w:autoSpaceDN w:val="0"/>
              <w:jc w:val="center"/>
              <w:textAlignment w:val="center"/>
              <w:rPr>
                <w:rFonts w:ascii="宋体" w:hAnsi="宋体"/>
                <w:color w:val="000000"/>
              </w:rPr>
            </w:pPr>
            <w:r>
              <w:rPr>
                <w:rFonts w:hint="eastAsia" w:ascii="宋体" w:hAnsi="宋体"/>
                <w:color w:val="00000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 w:hRule="atLeast"/>
        </w:trPr>
        <w:tc>
          <w:tcPr>
            <w:tcW w:w="1239" w:type="dxa"/>
            <w:vMerge w:val="continue"/>
            <w:tcBorders>
              <w:left w:val="single" w:color="000000" w:sz="4" w:space="0"/>
              <w:right w:val="single" w:color="000000" w:sz="4" w:space="0"/>
            </w:tcBorders>
            <w:vAlign w:val="center"/>
          </w:tcPr>
          <w:p/>
        </w:tc>
        <w:tc>
          <w:tcPr>
            <w:tcW w:w="1556" w:type="dxa"/>
            <w:gridSpan w:val="3"/>
            <w:vMerge w:val="continue"/>
            <w:vAlign w:val="center"/>
          </w:tcPr>
          <w:p>
            <w:pPr>
              <w:autoSpaceDN w:val="0"/>
              <w:jc w:val="left"/>
              <w:textAlignment w:val="center"/>
              <w:rPr>
                <w:rFonts w:ascii="宋体" w:hAnsi="宋体"/>
                <w:color w:val="000000"/>
              </w:rPr>
            </w:pPr>
          </w:p>
        </w:tc>
        <w:tc>
          <w:tcPr>
            <w:tcW w:w="2472" w:type="dxa"/>
            <w:gridSpan w:val="6"/>
            <w:tcBorders>
              <w:top w:val="single" w:color="auto"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color w:val="000000"/>
              </w:rPr>
            </w:pPr>
            <w:r>
              <w:rPr>
                <w:rFonts w:hint="eastAsia" w:ascii="宋体" w:hAnsi="宋体"/>
                <w:color w:val="000000"/>
              </w:rPr>
              <w:t>1.</w:t>
            </w:r>
          </w:p>
        </w:tc>
        <w:tc>
          <w:tcPr>
            <w:tcW w:w="2136" w:type="dxa"/>
            <w:gridSpan w:val="8"/>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969696"/>
              </w:rPr>
            </w:pPr>
          </w:p>
        </w:tc>
        <w:tc>
          <w:tcPr>
            <w:tcW w:w="1495" w:type="dxa"/>
            <w:gridSpan w:val="3"/>
            <w:tcBorders>
              <w:top w:val="single" w:color="auto"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color w:val="96969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 w:hRule="atLeast"/>
        </w:trPr>
        <w:tc>
          <w:tcPr>
            <w:tcW w:w="1239" w:type="dxa"/>
            <w:vMerge w:val="continue"/>
            <w:tcBorders>
              <w:left w:val="single" w:color="000000" w:sz="4" w:space="0"/>
              <w:bottom w:val="single" w:color="auto" w:sz="4" w:space="0"/>
              <w:right w:val="single" w:color="000000" w:sz="4" w:space="0"/>
            </w:tcBorders>
            <w:vAlign w:val="center"/>
          </w:tcPr>
          <w:p/>
        </w:tc>
        <w:tc>
          <w:tcPr>
            <w:tcW w:w="1556" w:type="dxa"/>
            <w:gridSpan w:val="3"/>
            <w:vMerge w:val="continue"/>
            <w:tcBorders>
              <w:bottom w:val="single" w:color="auto" w:sz="4" w:space="0"/>
            </w:tcBorders>
            <w:vAlign w:val="center"/>
          </w:tcPr>
          <w:p>
            <w:pPr>
              <w:autoSpaceDN w:val="0"/>
              <w:jc w:val="left"/>
              <w:textAlignment w:val="center"/>
              <w:rPr>
                <w:rFonts w:ascii="宋体" w:hAnsi="宋体"/>
                <w:color w:val="000000"/>
              </w:rPr>
            </w:pPr>
          </w:p>
        </w:tc>
        <w:tc>
          <w:tcPr>
            <w:tcW w:w="2472" w:type="dxa"/>
            <w:gridSpan w:val="6"/>
            <w:tcBorders>
              <w:top w:val="single" w:color="auto"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color w:val="969696"/>
              </w:rPr>
            </w:pPr>
            <w:r>
              <w:rPr>
                <w:rFonts w:hint="eastAsia" w:ascii="宋体" w:hAnsi="宋体"/>
                <w:color w:val="000000"/>
              </w:rPr>
              <w:t>2.</w:t>
            </w:r>
            <w:r>
              <w:rPr>
                <w:rFonts w:hint="eastAsia" w:ascii="宋体" w:hAnsi="宋体"/>
                <w:color w:val="969696"/>
                <w:sz w:val="15"/>
                <w:szCs w:val="15"/>
              </w:rPr>
              <w:t>（网点数量较多，可另附清单）</w:t>
            </w:r>
          </w:p>
        </w:tc>
        <w:tc>
          <w:tcPr>
            <w:tcW w:w="2136" w:type="dxa"/>
            <w:gridSpan w:val="8"/>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969696"/>
              </w:rPr>
            </w:pPr>
          </w:p>
        </w:tc>
        <w:tc>
          <w:tcPr>
            <w:tcW w:w="1495" w:type="dxa"/>
            <w:gridSpan w:val="3"/>
            <w:tcBorders>
              <w:top w:val="single" w:color="auto"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color w:val="96969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1239" w:type="dxa"/>
            <w:vMerge w:val="restart"/>
            <w:tcBorders>
              <w:top w:val="single" w:color="auto" w:sz="4" w:space="0"/>
              <w:left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国库集中支付业务</w:t>
            </w:r>
          </w:p>
        </w:tc>
        <w:tc>
          <w:tcPr>
            <w:tcW w:w="155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rPr>
            </w:pPr>
            <w:r>
              <w:rPr>
                <w:rFonts w:ascii="宋体" w:hAnsi="宋体"/>
                <w:color w:val="000000"/>
              </w:rPr>
              <w:t>主要负责部门</w:t>
            </w:r>
          </w:p>
        </w:tc>
        <w:tc>
          <w:tcPr>
            <w:tcW w:w="1636" w:type="dxa"/>
            <w:gridSpan w:val="3"/>
            <w:tcBorders>
              <w:bottom w:val="single" w:color="000000" w:sz="4" w:space="0"/>
              <w:right w:val="single" w:color="000000" w:sz="4" w:space="0"/>
            </w:tcBorders>
            <w:vAlign w:val="center"/>
          </w:tcPr>
          <w:p>
            <w:pPr>
              <w:autoSpaceDN w:val="0"/>
              <w:jc w:val="left"/>
              <w:textAlignment w:val="center"/>
              <w:rPr>
                <w:rFonts w:ascii="宋体" w:hAnsi="宋体"/>
                <w:color w:val="000000"/>
                <w:sz w:val="24"/>
              </w:rPr>
            </w:pPr>
          </w:p>
        </w:tc>
        <w:tc>
          <w:tcPr>
            <w:tcW w:w="1323" w:type="dxa"/>
            <w:gridSpan w:val="6"/>
            <w:tcBorders>
              <w:bottom w:val="single" w:color="000000" w:sz="4" w:space="0"/>
              <w:right w:val="single" w:color="000000" w:sz="4" w:space="0"/>
            </w:tcBorders>
            <w:vAlign w:val="center"/>
          </w:tcPr>
          <w:p>
            <w:pPr>
              <w:autoSpaceDN w:val="0"/>
              <w:jc w:val="left"/>
              <w:textAlignment w:val="center"/>
              <w:rPr>
                <w:rFonts w:ascii="宋体" w:hAnsi="宋体"/>
                <w:color w:val="000000"/>
              </w:rPr>
            </w:pPr>
            <w:r>
              <w:rPr>
                <w:rFonts w:ascii="宋体" w:hAnsi="宋体"/>
                <w:color w:val="000000"/>
              </w:rPr>
              <w:t>主要负责人</w:t>
            </w:r>
          </w:p>
        </w:tc>
        <w:tc>
          <w:tcPr>
            <w:tcW w:w="990" w:type="dxa"/>
            <w:gridSpan w:val="2"/>
            <w:tcBorders>
              <w:bottom w:val="single" w:color="000000" w:sz="4" w:space="0"/>
              <w:right w:val="single" w:color="000000" w:sz="4" w:space="0"/>
            </w:tcBorders>
            <w:vAlign w:val="center"/>
          </w:tcPr>
          <w:p>
            <w:pPr>
              <w:autoSpaceDN w:val="0"/>
              <w:jc w:val="left"/>
              <w:textAlignment w:val="center"/>
              <w:rPr>
                <w:rFonts w:ascii="宋体" w:hAnsi="宋体"/>
                <w:color w:val="000000"/>
              </w:rPr>
            </w:pPr>
          </w:p>
        </w:tc>
        <w:tc>
          <w:tcPr>
            <w:tcW w:w="1140" w:type="dxa"/>
            <w:gridSpan w:val="5"/>
            <w:tcBorders>
              <w:bottom w:val="single" w:color="000000" w:sz="4" w:space="0"/>
            </w:tcBorders>
            <w:vAlign w:val="center"/>
          </w:tcPr>
          <w:p>
            <w:pPr>
              <w:autoSpaceDN w:val="0"/>
              <w:jc w:val="left"/>
              <w:textAlignment w:val="center"/>
              <w:rPr>
                <w:rFonts w:ascii="宋体" w:hAnsi="宋体"/>
                <w:color w:val="000000"/>
              </w:rPr>
            </w:pPr>
            <w:r>
              <w:rPr>
                <w:rFonts w:ascii="宋体" w:hAnsi="宋体"/>
                <w:color w:val="000000"/>
              </w:rPr>
              <w:t>联系电话</w:t>
            </w:r>
          </w:p>
        </w:tc>
        <w:tc>
          <w:tcPr>
            <w:tcW w:w="1014" w:type="dxa"/>
            <w:tcBorders>
              <w:left w:val="single" w:color="000000" w:sz="4" w:space="0"/>
              <w:bottom w:val="single" w:color="000000" w:sz="4" w:space="0"/>
              <w:right w:val="single" w:color="000000" w:sz="4" w:space="0"/>
            </w:tcBorders>
            <w:vAlign w:val="bottom"/>
          </w:tcPr>
          <w:p>
            <w:pPr>
              <w:autoSpaceDN w:val="0"/>
              <w:jc w:val="left"/>
              <w:textAlignment w:val="bottom"/>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39" w:type="dxa"/>
            <w:vMerge w:val="continue"/>
            <w:tcBorders>
              <w:left w:val="single" w:color="000000" w:sz="4" w:space="0"/>
              <w:right w:val="single" w:color="000000" w:sz="4" w:space="0"/>
            </w:tcBorders>
            <w:vAlign w:val="center"/>
          </w:tcPr>
          <w:p/>
        </w:tc>
        <w:tc>
          <w:tcPr>
            <w:tcW w:w="1556" w:type="dxa"/>
            <w:gridSpan w:val="3"/>
            <w:tcBorders>
              <w:bottom w:val="single" w:color="000000" w:sz="4" w:space="0"/>
            </w:tcBorders>
            <w:vAlign w:val="center"/>
          </w:tcPr>
          <w:p>
            <w:pPr>
              <w:autoSpaceDN w:val="0"/>
              <w:jc w:val="left"/>
              <w:textAlignment w:val="center"/>
              <w:rPr>
                <w:rFonts w:ascii="宋体" w:hAnsi="宋体"/>
                <w:color w:val="000000"/>
              </w:rPr>
            </w:pPr>
            <w:r>
              <w:rPr>
                <w:rFonts w:hint="eastAsia" w:ascii="宋体" w:hAnsi="宋体"/>
                <w:color w:val="000000"/>
              </w:rPr>
              <w:t>对公业务</w:t>
            </w:r>
            <w:r>
              <w:rPr>
                <w:rFonts w:ascii="宋体" w:hAnsi="宋体"/>
                <w:color w:val="000000"/>
              </w:rPr>
              <w:t>网点数量</w:t>
            </w:r>
          </w:p>
        </w:tc>
        <w:tc>
          <w:tcPr>
            <w:tcW w:w="2268" w:type="dxa"/>
            <w:gridSpan w:val="5"/>
            <w:tcBorders>
              <w:top w:val="single" w:color="000000" w:sz="4" w:space="0"/>
              <w:left w:val="single" w:color="000000" w:sz="4" w:space="0"/>
              <w:bottom w:val="single" w:color="000000" w:sz="4" w:space="0"/>
              <w:right w:val="single" w:color="auto" w:sz="4" w:space="0"/>
            </w:tcBorders>
            <w:vAlign w:val="center"/>
          </w:tcPr>
          <w:p>
            <w:pPr>
              <w:autoSpaceDN w:val="0"/>
              <w:jc w:val="left"/>
              <w:textAlignment w:val="center"/>
              <w:rPr>
                <w:rFonts w:ascii="宋体" w:hAnsi="宋体"/>
                <w:color w:val="000000"/>
                <w:sz w:val="15"/>
                <w:szCs w:val="15"/>
              </w:rPr>
            </w:pPr>
            <w:r>
              <w:rPr>
                <w:rFonts w:ascii="宋体" w:hAnsi="宋体"/>
                <w:color w:val="969696"/>
                <w:sz w:val="15"/>
                <w:szCs w:val="15"/>
              </w:rPr>
              <w:t>（</w:t>
            </w:r>
            <w:r>
              <w:rPr>
                <w:rFonts w:hint="eastAsia" w:ascii="宋体" w:hAnsi="宋体"/>
                <w:color w:val="969696"/>
                <w:sz w:val="15"/>
                <w:szCs w:val="15"/>
              </w:rPr>
              <w:t>申请机构下辖办理对公业务网点数量</w:t>
            </w:r>
            <w:r>
              <w:rPr>
                <w:rFonts w:ascii="宋体" w:hAnsi="宋体"/>
                <w:color w:val="969696"/>
                <w:sz w:val="15"/>
                <w:szCs w:val="15"/>
              </w:rPr>
              <w:t>）</w:t>
            </w:r>
          </w:p>
        </w:tc>
        <w:tc>
          <w:tcPr>
            <w:tcW w:w="1681" w:type="dxa"/>
            <w:gridSpan w:val="6"/>
            <w:tcBorders>
              <w:top w:val="single" w:color="000000" w:sz="4" w:space="0"/>
              <w:left w:val="single" w:color="auto" w:sz="4" w:space="0"/>
              <w:bottom w:val="single" w:color="000000" w:sz="4" w:space="0"/>
              <w:right w:val="single" w:color="auto" w:sz="4" w:space="0"/>
            </w:tcBorders>
            <w:vAlign w:val="center"/>
          </w:tcPr>
          <w:p>
            <w:pPr>
              <w:autoSpaceDN w:val="0"/>
              <w:jc w:val="left"/>
              <w:textAlignment w:val="center"/>
              <w:rPr>
                <w:rFonts w:ascii="宋体" w:hAnsi="宋体"/>
                <w:color w:val="000000"/>
                <w:sz w:val="24"/>
              </w:rPr>
            </w:pPr>
            <w:r>
              <w:rPr>
                <w:rFonts w:ascii="宋体" w:hAnsi="宋体"/>
                <w:color w:val="000000"/>
              </w:rPr>
              <w:t>从业人数</w:t>
            </w:r>
          </w:p>
        </w:tc>
        <w:tc>
          <w:tcPr>
            <w:tcW w:w="2154" w:type="dxa"/>
            <w:gridSpan w:val="6"/>
            <w:tcBorders>
              <w:top w:val="single" w:color="000000" w:sz="4" w:space="0"/>
              <w:left w:val="single" w:color="auto"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969696"/>
                <w:sz w:val="15"/>
                <w:szCs w:val="15"/>
              </w:rPr>
              <w:t>（</w:t>
            </w:r>
            <w:r>
              <w:rPr>
                <w:rFonts w:hint="eastAsia" w:ascii="宋体" w:hAnsi="宋体"/>
                <w:color w:val="969696"/>
                <w:sz w:val="15"/>
                <w:szCs w:val="15"/>
              </w:rPr>
              <w:t>申请机构下辖办理对公业务网点从业人员数量</w:t>
            </w:r>
            <w:r>
              <w:rPr>
                <w:rFonts w:ascii="宋体" w:hAnsi="宋体"/>
                <w:color w:val="969696"/>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1239" w:type="dxa"/>
            <w:vMerge w:val="continue"/>
            <w:tcBorders>
              <w:left w:val="single" w:color="000000" w:sz="4" w:space="0"/>
              <w:right w:val="single" w:color="000000" w:sz="4" w:space="0"/>
            </w:tcBorders>
            <w:vAlign w:val="center"/>
          </w:tcPr>
          <w:p/>
        </w:tc>
        <w:tc>
          <w:tcPr>
            <w:tcW w:w="1556" w:type="dxa"/>
            <w:gridSpan w:val="3"/>
            <w:vMerge w:val="restart"/>
            <w:vAlign w:val="center"/>
          </w:tcPr>
          <w:p>
            <w:pPr>
              <w:autoSpaceDN w:val="0"/>
              <w:jc w:val="left"/>
              <w:textAlignment w:val="center"/>
              <w:rPr>
                <w:rFonts w:ascii="宋体" w:hAnsi="宋体"/>
                <w:color w:val="000000"/>
              </w:rPr>
            </w:pPr>
            <w:r>
              <w:rPr>
                <w:rFonts w:hint="eastAsia" w:ascii="宋体" w:hAnsi="宋体"/>
                <w:color w:val="000000"/>
              </w:rPr>
              <w:t>拟具体承办</w:t>
            </w:r>
            <w:r>
              <w:rPr>
                <w:rFonts w:hint="eastAsia" w:ascii="宋体" w:hAnsi="宋体"/>
                <w:color w:val="000000"/>
                <w:lang w:val="en-US" w:eastAsia="zh-CN"/>
              </w:rPr>
              <w:t>国库</w:t>
            </w:r>
            <w:r>
              <w:rPr>
                <w:rFonts w:hint="eastAsia" w:ascii="宋体" w:hAnsi="宋体"/>
                <w:color w:val="000000"/>
              </w:rPr>
              <w:t>集中支付业务机构</w:t>
            </w:r>
          </w:p>
        </w:tc>
        <w:tc>
          <w:tcPr>
            <w:tcW w:w="1138" w:type="dxa"/>
            <w:gridSpan w:val="2"/>
            <w:tcBorders>
              <w:top w:val="single" w:color="000000"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color w:val="000000"/>
                <w:szCs w:val="21"/>
              </w:rPr>
            </w:pPr>
            <w:r>
              <w:rPr>
                <w:rFonts w:hint="eastAsia" w:ascii="宋体" w:hAnsi="宋体"/>
                <w:color w:val="000000"/>
                <w:szCs w:val="21"/>
              </w:rPr>
              <w:t>机构名称</w:t>
            </w:r>
          </w:p>
        </w:tc>
        <w:tc>
          <w:tcPr>
            <w:tcW w:w="2268" w:type="dxa"/>
            <w:gridSpan w:val="8"/>
            <w:tcBorders>
              <w:top w:val="single" w:color="000000"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Cs w:val="21"/>
              </w:rPr>
            </w:pPr>
          </w:p>
        </w:tc>
        <w:tc>
          <w:tcPr>
            <w:tcW w:w="1562" w:type="dxa"/>
            <w:gridSpan w:val="5"/>
            <w:tcBorders>
              <w:top w:val="single" w:color="000000"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color w:val="000000"/>
                <w:szCs w:val="21"/>
              </w:rPr>
            </w:pPr>
            <w:r>
              <w:rPr>
                <w:rFonts w:hint="eastAsia" w:ascii="宋体" w:hAnsi="宋体"/>
                <w:color w:val="000000"/>
                <w:szCs w:val="21"/>
              </w:rPr>
              <w:t>机构行政级别</w:t>
            </w:r>
          </w:p>
        </w:tc>
        <w:tc>
          <w:tcPr>
            <w:tcW w:w="1135" w:type="dxa"/>
            <w:gridSpan w:val="2"/>
            <w:tcBorders>
              <w:top w:val="single" w:color="000000"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color w:val="969696"/>
                <w:sz w:val="15"/>
                <w:szCs w:val="15"/>
              </w:rPr>
            </w:pPr>
            <w:r>
              <w:rPr>
                <w:rFonts w:hint="eastAsia" w:ascii="宋体" w:hAnsi="宋体"/>
                <w:color w:val="969696"/>
                <w:sz w:val="15"/>
                <w:szCs w:val="15"/>
              </w:rPr>
              <w:t>如：一级支行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trPr>
        <w:tc>
          <w:tcPr>
            <w:tcW w:w="1239" w:type="dxa"/>
            <w:vMerge w:val="continue"/>
            <w:tcBorders>
              <w:left w:val="single" w:color="000000" w:sz="4" w:space="0"/>
              <w:right w:val="single" w:color="000000" w:sz="4" w:space="0"/>
            </w:tcBorders>
            <w:vAlign w:val="center"/>
          </w:tcPr>
          <w:p/>
        </w:tc>
        <w:tc>
          <w:tcPr>
            <w:tcW w:w="1556" w:type="dxa"/>
            <w:gridSpan w:val="3"/>
            <w:vMerge w:val="continue"/>
            <w:vAlign w:val="center"/>
          </w:tcPr>
          <w:p>
            <w:pPr>
              <w:autoSpaceDN w:val="0"/>
              <w:jc w:val="left"/>
              <w:textAlignment w:val="center"/>
              <w:rPr>
                <w:rFonts w:ascii="宋体" w:hAnsi="宋体"/>
                <w:color w:val="000000"/>
              </w:rPr>
            </w:pPr>
          </w:p>
        </w:tc>
        <w:tc>
          <w:tcPr>
            <w:tcW w:w="1138" w:type="dxa"/>
            <w:gridSpan w:val="2"/>
            <w:tcBorders>
              <w:top w:val="single" w:color="auto" w:sz="4" w:space="0"/>
              <w:left w:val="single" w:color="000000" w:sz="4" w:space="0"/>
              <w:bottom w:val="single" w:color="auto" w:sz="4" w:space="0"/>
              <w:right w:val="single" w:color="auto" w:sz="4" w:space="0"/>
            </w:tcBorders>
            <w:vAlign w:val="center"/>
          </w:tcPr>
          <w:p>
            <w:pPr>
              <w:autoSpaceDN w:val="0"/>
              <w:jc w:val="left"/>
              <w:textAlignment w:val="center"/>
              <w:rPr>
                <w:rFonts w:ascii="宋体" w:hAnsi="宋体"/>
                <w:sz w:val="18"/>
                <w:szCs w:val="18"/>
              </w:rPr>
            </w:pPr>
            <w:r>
              <w:rPr>
                <w:rFonts w:hint="eastAsia" w:ascii="宋体" w:hAnsi="宋体"/>
                <w:sz w:val="18"/>
                <w:szCs w:val="18"/>
              </w:rPr>
              <w:t>主要负责人</w:t>
            </w:r>
          </w:p>
        </w:tc>
        <w:tc>
          <w:tcPr>
            <w:tcW w:w="1454" w:type="dxa"/>
            <w:gridSpan w:val="5"/>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sz w:val="18"/>
                <w:szCs w:val="18"/>
              </w:rPr>
            </w:pPr>
          </w:p>
        </w:tc>
        <w:tc>
          <w:tcPr>
            <w:tcW w:w="814" w:type="dxa"/>
            <w:gridSpan w:val="3"/>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ascii="宋体" w:hAnsi="宋体"/>
                <w:sz w:val="18"/>
                <w:szCs w:val="18"/>
              </w:rPr>
            </w:pPr>
            <w:r>
              <w:rPr>
                <w:rFonts w:hint="eastAsia" w:ascii="宋体" w:hAnsi="宋体"/>
                <w:sz w:val="18"/>
                <w:szCs w:val="18"/>
              </w:rPr>
              <w:t>电话</w:t>
            </w:r>
          </w:p>
        </w:tc>
        <w:tc>
          <w:tcPr>
            <w:tcW w:w="2697" w:type="dxa"/>
            <w:gridSpan w:val="7"/>
            <w:tcBorders>
              <w:top w:val="single" w:color="auto" w:sz="4" w:space="0"/>
              <w:left w:val="single" w:color="auto" w:sz="4" w:space="0"/>
              <w:bottom w:val="single" w:color="auto" w:sz="4" w:space="0"/>
              <w:right w:val="single" w:color="000000" w:sz="4" w:space="0"/>
            </w:tcBorders>
            <w:vAlign w:val="center"/>
          </w:tcPr>
          <w:p>
            <w:pPr>
              <w:autoSpaceDN w:val="0"/>
              <w:jc w:val="left"/>
              <w:textAlignment w:val="center"/>
              <w:rPr>
                <w:rFonts w:ascii="宋体" w:hAns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239" w:type="dxa"/>
            <w:vMerge w:val="continue"/>
            <w:tcBorders>
              <w:left w:val="single" w:color="000000" w:sz="4" w:space="0"/>
              <w:bottom w:val="single" w:color="000000" w:sz="4" w:space="0"/>
              <w:right w:val="single" w:color="000000" w:sz="4" w:space="0"/>
            </w:tcBorders>
            <w:vAlign w:val="center"/>
          </w:tcPr>
          <w:p/>
        </w:tc>
        <w:tc>
          <w:tcPr>
            <w:tcW w:w="1556" w:type="dxa"/>
            <w:gridSpan w:val="3"/>
            <w:vMerge w:val="continue"/>
            <w:vAlign w:val="center"/>
          </w:tcPr>
          <w:p>
            <w:pPr>
              <w:autoSpaceDN w:val="0"/>
              <w:jc w:val="left"/>
              <w:textAlignment w:val="center"/>
              <w:rPr>
                <w:rFonts w:ascii="宋体" w:hAnsi="宋体"/>
                <w:color w:val="000000"/>
              </w:rPr>
            </w:pPr>
          </w:p>
        </w:tc>
        <w:tc>
          <w:tcPr>
            <w:tcW w:w="1138" w:type="dxa"/>
            <w:gridSpan w:val="2"/>
            <w:tcBorders>
              <w:top w:val="single" w:color="auto" w:sz="4" w:space="0"/>
              <w:left w:val="single" w:color="000000" w:sz="4" w:space="0"/>
              <w:right w:val="single" w:color="auto" w:sz="4" w:space="0"/>
            </w:tcBorders>
            <w:vAlign w:val="center"/>
          </w:tcPr>
          <w:p>
            <w:pPr>
              <w:autoSpaceDN w:val="0"/>
              <w:jc w:val="left"/>
              <w:textAlignment w:val="center"/>
              <w:rPr>
                <w:rFonts w:ascii="宋体" w:hAnsi="宋体"/>
                <w:sz w:val="18"/>
                <w:szCs w:val="18"/>
              </w:rPr>
            </w:pPr>
            <w:r>
              <w:rPr>
                <w:rFonts w:hint="eastAsia" w:ascii="宋体" w:hAnsi="宋体"/>
                <w:sz w:val="18"/>
                <w:szCs w:val="18"/>
              </w:rPr>
              <w:t>地址</w:t>
            </w:r>
          </w:p>
        </w:tc>
        <w:tc>
          <w:tcPr>
            <w:tcW w:w="4965" w:type="dxa"/>
            <w:gridSpan w:val="15"/>
            <w:tcBorders>
              <w:top w:val="single" w:color="auto" w:sz="4" w:space="0"/>
              <w:left w:val="single" w:color="auto" w:sz="4" w:space="0"/>
              <w:right w:val="single" w:color="000000" w:sz="4" w:space="0"/>
            </w:tcBorders>
            <w:vAlign w:val="center"/>
          </w:tcPr>
          <w:p>
            <w:pPr>
              <w:autoSpaceDN w:val="0"/>
              <w:jc w:val="left"/>
              <w:textAlignment w:val="center"/>
              <w:rPr>
                <w:rFonts w:ascii="宋体" w:hAnsi="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5" w:hRule="atLeast"/>
        </w:trPr>
        <w:tc>
          <w:tcPr>
            <w:tcW w:w="8898" w:type="dxa"/>
            <w:gridSpan w:val="21"/>
            <w:tcBorders>
              <w:top w:val="single" w:color="000000" w:sz="4" w:space="0"/>
              <w:left w:val="single" w:color="000000" w:sz="4" w:space="0"/>
              <w:bottom w:val="single" w:color="000000" w:sz="4" w:space="0"/>
              <w:right w:val="single" w:color="000000" w:sz="4" w:space="0"/>
            </w:tcBorders>
            <w:vAlign w:val="top"/>
          </w:tcPr>
          <w:p>
            <w:pPr>
              <w:spacing w:line="560" w:lineRule="exact"/>
              <w:ind w:firstLine="360" w:firstLineChars="150"/>
              <w:rPr>
                <w:rFonts w:ascii="宋体" w:hAnsi="宋体"/>
                <w:color w:val="000000"/>
                <w:sz w:val="24"/>
              </w:rPr>
            </w:pPr>
            <w:r>
              <w:rPr>
                <w:rFonts w:ascii="宋体" w:hAnsi="宋体"/>
                <w:color w:val="000000"/>
                <w:sz w:val="24"/>
              </w:rPr>
              <w:t>所附申请资料目录：</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1、</w:t>
            </w:r>
            <w:r>
              <w:rPr>
                <w:rFonts w:hint="eastAsia" w:ascii="仿宋_GB2312" w:hAnsi="黑体" w:eastAsia="仿宋_GB2312"/>
                <w:sz w:val="24"/>
                <w:szCs w:val="24"/>
                <w:lang w:eastAsia="zh-CN"/>
              </w:rPr>
              <w:t>巴彦淖尔市</w:t>
            </w:r>
            <w:r>
              <w:rPr>
                <w:rFonts w:hint="eastAsia" w:ascii="仿宋_GB2312" w:hAnsi="黑体" w:eastAsia="仿宋_GB2312"/>
                <w:sz w:val="24"/>
                <w:szCs w:val="24"/>
              </w:rPr>
              <w:t>国库集中收付业务代理银行资格认定申请书</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2、金融许可证、营业执照</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3、申请机构法定代表人或主要负责人身份证明文件</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4、申请前两个年度央行金融</w:t>
            </w:r>
            <w:r>
              <w:rPr>
                <w:rFonts w:hint="eastAsia" w:ascii="仿宋_GB2312" w:hAnsi="黑体" w:eastAsia="仿宋_GB2312"/>
                <w:sz w:val="24"/>
                <w:szCs w:val="24"/>
                <w:lang w:val="en-US" w:eastAsia="zh-CN"/>
              </w:rPr>
              <w:t>机构</w:t>
            </w:r>
            <w:r>
              <w:rPr>
                <w:rFonts w:hint="eastAsia" w:ascii="仿宋_GB2312" w:hAnsi="黑体" w:eastAsia="仿宋_GB2312"/>
                <w:sz w:val="24"/>
                <w:szCs w:val="24"/>
              </w:rPr>
              <w:t>评级结果</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5、申请前两个年度申请人境内资产负债表、利润表等财务报表</w:t>
            </w:r>
            <w:r>
              <w:rPr>
                <w:rFonts w:ascii="仿宋_GB2312" w:hAnsi="黑体" w:eastAsia="仿宋_GB2312"/>
                <w:sz w:val="24"/>
                <w:szCs w:val="24"/>
              </w:rPr>
              <w:t>………</w:t>
            </w:r>
            <w:r>
              <w:rPr>
                <w:rFonts w:hint="eastAsia" w:ascii="仿宋_GB2312" w:hAnsi="黑体" w:eastAsia="仿宋_GB2312"/>
                <w:sz w:val="24"/>
                <w:szCs w:val="24"/>
              </w:rPr>
              <w:t xml:space="preserve"> XX页</w:t>
            </w:r>
          </w:p>
          <w:p>
            <w:pPr>
              <w:spacing w:line="560" w:lineRule="exact"/>
              <w:rPr>
                <w:rFonts w:ascii="仿宋_GB2312" w:hAnsi="黑体" w:eastAsia="仿宋_GB2312"/>
                <w:sz w:val="24"/>
                <w:szCs w:val="24"/>
              </w:rPr>
            </w:pPr>
            <w:r>
              <w:rPr>
                <w:rFonts w:hint="eastAsia" w:ascii="仿宋_GB2312" w:hAnsi="黑体" w:eastAsia="仿宋_GB2312"/>
                <w:sz w:val="24"/>
                <w:szCs w:val="24"/>
              </w:rPr>
              <w:t xml:space="preserve">   6、申请前两个年度金融监管、审计等监管审计报告</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hint="eastAsia" w:ascii="仿宋_GB2312" w:hAnsi="黑体" w:eastAsia="仿宋_GB2312"/>
                <w:sz w:val="24"/>
                <w:szCs w:val="24"/>
                <w:lang w:val="en-US" w:eastAsia="zh-CN"/>
              </w:rPr>
            </w:pPr>
            <w:r>
              <w:rPr>
                <w:rFonts w:hint="eastAsia" w:ascii="仿宋_GB2312" w:hAnsi="黑体" w:eastAsia="仿宋_GB2312"/>
                <w:sz w:val="24"/>
                <w:szCs w:val="24"/>
              </w:rPr>
              <w:t>7、申请前两个年度与代理国库业务</w:t>
            </w:r>
            <w:r>
              <w:rPr>
                <w:rFonts w:hint="eastAsia" w:ascii="仿宋_GB2312" w:hAnsi="黑体" w:eastAsia="仿宋_GB2312"/>
                <w:sz w:val="24"/>
                <w:szCs w:val="24"/>
                <w:lang w:eastAsia="zh-CN"/>
              </w:rPr>
              <w:t>、</w:t>
            </w:r>
            <w:r>
              <w:rPr>
                <w:rFonts w:hint="eastAsia" w:ascii="仿宋_GB2312" w:hAnsi="黑体" w:eastAsia="仿宋_GB2312"/>
                <w:sz w:val="24"/>
                <w:szCs w:val="24"/>
              </w:rPr>
              <w:t>支付结算方面相关的违法行为案件等情</w:t>
            </w:r>
            <w:r>
              <w:rPr>
                <w:rFonts w:hint="eastAsia" w:ascii="仿宋_GB2312" w:hAnsi="黑体" w:eastAsia="仿宋_GB2312"/>
                <w:sz w:val="24"/>
                <w:szCs w:val="24"/>
                <w:lang w:val="en-US" w:eastAsia="zh-CN"/>
              </w:rPr>
              <w:t xml:space="preserve"> </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lang w:val="en-US" w:eastAsia="zh-CN"/>
              </w:rPr>
              <w:t xml:space="preserve">   </w:t>
            </w:r>
            <w:r>
              <w:rPr>
                <w:rFonts w:hint="eastAsia" w:ascii="仿宋_GB2312" w:hAnsi="黑体" w:eastAsia="仿宋_GB2312"/>
                <w:sz w:val="24"/>
                <w:szCs w:val="24"/>
              </w:rPr>
              <w:t>况</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8、相关指标统计表</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9、申请材料真实性声明</w:t>
            </w:r>
            <w:r>
              <w:rPr>
                <w:rFonts w:ascii="仿宋_GB2312" w:hAnsi="黑体" w:eastAsia="仿宋_GB2312"/>
                <w:sz w:val="24"/>
                <w:szCs w:val="24"/>
              </w:rPr>
              <w:t>…………………………………………………</w:t>
            </w:r>
            <w:r>
              <w:rPr>
                <w:rFonts w:hint="eastAsia" w:ascii="仿宋_GB2312" w:hAnsi="黑体" w:eastAsia="仿宋_GB2312"/>
                <w:sz w:val="24"/>
                <w:szCs w:val="24"/>
              </w:rPr>
              <w:t>XX页</w:t>
            </w:r>
          </w:p>
          <w:p>
            <w:pPr>
              <w:spacing w:line="560" w:lineRule="exact"/>
              <w:ind w:firstLine="360" w:firstLineChars="150"/>
              <w:rPr>
                <w:rFonts w:ascii="仿宋_GB2312" w:hAnsi="黑体" w:eastAsia="仿宋_GB2312"/>
                <w:sz w:val="24"/>
                <w:szCs w:val="24"/>
              </w:rPr>
            </w:pPr>
            <w:r>
              <w:rPr>
                <w:rFonts w:hint="eastAsia" w:ascii="仿宋_GB2312" w:hAnsi="黑体" w:eastAsia="仿宋_GB2312"/>
                <w:sz w:val="24"/>
                <w:szCs w:val="24"/>
              </w:rPr>
              <w:t>10、其他方面的材料</w:t>
            </w:r>
            <w:r>
              <w:rPr>
                <w:rFonts w:ascii="仿宋_GB2312" w:hAnsi="黑体" w:eastAsia="仿宋_GB2312"/>
                <w:sz w:val="24"/>
                <w:szCs w:val="24"/>
              </w:rPr>
              <w:t>………………………………………………………</w:t>
            </w:r>
            <w:r>
              <w:rPr>
                <w:rFonts w:hint="eastAsia" w:ascii="仿宋_GB2312" w:hAnsi="黑体" w:eastAsia="仿宋_GB2312"/>
                <w:sz w:val="24"/>
                <w:szCs w:val="24"/>
              </w:rPr>
              <w:t>XX页</w:t>
            </w:r>
          </w:p>
          <w:p>
            <w:pPr>
              <w:autoSpaceDN w:val="0"/>
              <w:jc w:val="left"/>
              <w:textAlignment w:val="top"/>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1701" w:type="dxa"/>
            <w:gridSpan w:val="2"/>
            <w:tcBorders>
              <w:left w:val="single" w:color="000000" w:sz="4" w:space="0"/>
              <w:bottom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文书送达方式</w:t>
            </w:r>
          </w:p>
        </w:tc>
        <w:tc>
          <w:tcPr>
            <w:tcW w:w="7197" w:type="dxa"/>
            <w:gridSpan w:val="19"/>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eastAsia="仿宋_GB2312"/>
                <w:color w:val="000000"/>
                <w:sz w:val="24"/>
              </w:rPr>
            </w:pPr>
            <w:r>
              <w:rPr>
                <w:rFonts w:ascii="仿宋_GB2312" w:hAnsi="仿宋_GB2312" w:eastAsia="仿宋_GB2312"/>
                <w:color w:val="000000"/>
                <w:sz w:val="24"/>
              </w:rPr>
              <w:t>□邮寄　　　□自行领取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01" w:type="dxa"/>
            <w:gridSpan w:val="2"/>
            <w:vMerge w:val="restart"/>
            <w:tcBorders>
              <w:left w:val="single" w:color="000000" w:sz="4" w:space="0"/>
              <w:bottom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通讯地址</w:t>
            </w:r>
          </w:p>
        </w:tc>
        <w:tc>
          <w:tcPr>
            <w:tcW w:w="14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地址及邮编</w:t>
            </w:r>
          </w:p>
        </w:tc>
        <w:tc>
          <w:tcPr>
            <w:tcW w:w="5712" w:type="dxa"/>
            <w:gridSpan w:val="16"/>
            <w:tcBorders>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969696"/>
              </w:rPr>
              <w:t>（文书送达方式选择“邮寄”时，通讯地址应为接收资格认定相关文书的地址）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1701" w:type="dxa"/>
            <w:gridSpan w:val="2"/>
            <w:vMerge w:val="continue"/>
            <w:tcBorders>
              <w:left w:val="single" w:color="000000" w:sz="4" w:space="0"/>
              <w:bottom w:val="single" w:color="000000" w:sz="4" w:space="0"/>
            </w:tcBorders>
            <w:vAlign w:val="center"/>
          </w:tcPr>
          <w:p/>
        </w:tc>
        <w:tc>
          <w:tcPr>
            <w:tcW w:w="1485" w:type="dxa"/>
            <w:gridSpan w:val="3"/>
            <w:tcBorders>
              <w:top w:val="single" w:color="000000" w:sz="4" w:space="0"/>
              <w:left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电子邮箱</w:t>
            </w:r>
          </w:p>
        </w:tc>
        <w:tc>
          <w:tcPr>
            <w:tcW w:w="5712" w:type="dxa"/>
            <w:gridSpan w:val="16"/>
            <w:tcBorders>
              <w:top w:val="single" w:color="000000" w:sz="4" w:space="0"/>
              <w:left w:val="single" w:color="000000" w:sz="4" w:space="0"/>
              <w:right w:val="single" w:color="000000" w:sz="4" w:space="0"/>
            </w:tcBorders>
            <w:vAlign w:val="center"/>
          </w:tcPr>
          <w:p>
            <w:pPr>
              <w:autoSpaceDN w:val="0"/>
              <w:jc w:val="left"/>
              <w:textAlignment w:val="center"/>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9" w:hRule="atLeast"/>
        </w:trPr>
        <w:tc>
          <w:tcPr>
            <w:tcW w:w="4431"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sz w:val="24"/>
                <w:szCs w:val="24"/>
              </w:rPr>
            </w:pPr>
            <w:r>
              <w:rPr>
                <w:rFonts w:ascii="宋体" w:hAnsi="宋体"/>
                <w:color w:val="000000"/>
                <w:sz w:val="24"/>
              </w:rPr>
              <w:t>法定代表人</w:t>
            </w:r>
            <w:r>
              <w:rPr>
                <w:rFonts w:ascii="宋体" w:hAnsi="宋体"/>
                <w:color w:val="000000"/>
                <w:sz w:val="24"/>
              </w:rPr>
              <w:br/>
            </w:r>
            <w:r>
              <w:rPr>
                <w:rFonts w:ascii="宋体" w:hAnsi="宋体"/>
                <w:color w:val="000000"/>
                <w:sz w:val="24"/>
              </w:rPr>
              <w:t>或授权代理人签章：</w:t>
            </w:r>
            <w:r>
              <w:rPr>
                <w:rFonts w:ascii="宋体" w:hAnsi="宋体"/>
                <w:color w:val="000000"/>
                <w:sz w:val="24"/>
              </w:rPr>
              <w:br/>
            </w:r>
          </w:p>
          <w:p>
            <w:pPr>
              <w:autoSpaceDN w:val="0"/>
              <w:jc w:val="left"/>
              <w:textAlignment w:val="center"/>
              <w:rPr>
                <w:rFonts w:ascii="宋体" w:hAnsi="宋体"/>
                <w:sz w:val="24"/>
                <w:szCs w:val="24"/>
              </w:rPr>
            </w:pPr>
          </w:p>
          <w:p>
            <w:pPr>
              <w:autoSpaceDN w:val="0"/>
              <w:jc w:val="left"/>
              <w:textAlignment w:val="center"/>
              <w:rPr>
                <w:rFonts w:ascii="宋体" w:hAnsi="宋体"/>
                <w:color w:val="000000"/>
                <w:sz w:val="24"/>
              </w:rPr>
            </w:pPr>
            <w:r>
              <w:rPr>
                <w:rFonts w:hint="eastAsia" w:ascii="宋体" w:hAnsi="宋体"/>
                <w:sz w:val="24"/>
                <w:szCs w:val="24"/>
              </w:rPr>
              <w:t>注：委托代理人签字（盖章）时，应当同时提供法人代表的授权委托书。</w:t>
            </w:r>
          </w:p>
        </w:tc>
        <w:tc>
          <w:tcPr>
            <w:tcW w:w="4467" w:type="dxa"/>
            <w:gridSpan w:val="14"/>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color w:val="000000"/>
                <w:sz w:val="24"/>
              </w:rPr>
            </w:pPr>
            <w:r>
              <w:rPr>
                <w:rFonts w:ascii="宋体" w:hAnsi="宋体"/>
                <w:color w:val="000000"/>
                <w:sz w:val="24"/>
              </w:rPr>
              <w:t>单位公章：　</w:t>
            </w:r>
          </w:p>
        </w:tc>
      </w:tr>
    </w:tbl>
    <w:p>
      <w:pPr>
        <w:pStyle w:val="5"/>
        <w:spacing w:before="0" w:beforeAutospacing="0" w:after="0" w:afterAutospacing="0" w:line="520" w:lineRule="exact"/>
        <w:rPr>
          <w:rFonts w:ascii="宋体" w:hAnsi="宋体" w:eastAsia="宋体"/>
          <w:sz w:val="21"/>
          <w:szCs w:val="21"/>
        </w:rPr>
      </w:pPr>
      <w:r>
        <w:rPr>
          <w:rFonts w:hint="eastAsia" w:ascii="宋体" w:hAnsi="宋体" w:eastAsia="宋体"/>
          <w:sz w:val="21"/>
          <w:szCs w:val="21"/>
        </w:rPr>
        <w:t>申请表正反面打印。</w:t>
      </w:r>
    </w:p>
    <w:p>
      <w:pPr>
        <w:pStyle w:val="5"/>
        <w:spacing w:before="0" w:beforeAutospacing="0" w:after="0" w:afterAutospacing="0" w:line="520" w:lineRule="exact"/>
        <w:jc w:val="center"/>
        <w:rPr>
          <w:rFonts w:ascii="方正小标宋_GBK" w:hAnsi="方正小标宋_GBK" w:eastAsia="方正小标宋_GBK"/>
          <w:sz w:val="36"/>
          <w:szCs w:val="36"/>
        </w:rPr>
      </w:pPr>
    </w:p>
    <w:p>
      <w:pPr>
        <w:pStyle w:val="5"/>
        <w:spacing w:before="0" w:beforeAutospacing="0" w:after="0" w:afterAutospacing="0" w:line="520" w:lineRule="exact"/>
        <w:jc w:val="center"/>
        <w:rPr>
          <w:rFonts w:ascii="方正小标宋_GBK" w:hAnsi="方正小标宋_GBK" w:eastAsia="方正小标宋_GBK"/>
          <w:sz w:val="36"/>
          <w:szCs w:val="36"/>
        </w:rPr>
      </w:pPr>
    </w:p>
    <w:p>
      <w:pPr>
        <w:pStyle w:val="5"/>
        <w:spacing w:before="0" w:beforeAutospacing="0" w:after="0" w:afterAutospacing="0" w:line="520" w:lineRule="exact"/>
        <w:jc w:val="center"/>
        <w:rPr>
          <w:rFonts w:ascii="方正小标宋_GBK" w:hAnsi="方正小标宋_GBK" w:eastAsia="方正小标宋_GBK"/>
          <w:sz w:val="36"/>
          <w:szCs w:val="36"/>
        </w:rPr>
      </w:pPr>
    </w:p>
    <w:p>
      <w:pPr>
        <w:pStyle w:val="5"/>
        <w:spacing w:before="0" w:beforeAutospacing="0" w:after="0" w:afterAutospacing="0" w:line="520" w:lineRule="exact"/>
        <w:jc w:val="center"/>
        <w:rPr>
          <w:rFonts w:ascii="方正小标宋_GBK" w:hAnsi="方正小标宋_GBK" w:eastAsia="方正小标宋_GBK"/>
          <w:sz w:val="36"/>
          <w:szCs w:val="36"/>
        </w:rPr>
      </w:pPr>
    </w:p>
    <w:p>
      <w:pPr>
        <w:spacing w:line="560" w:lineRule="exact"/>
        <w:ind w:firstLine="450" w:firstLineChars="150"/>
        <w:rPr>
          <w:rFonts w:ascii="仿宋_GB2312" w:hAnsi="黑体" w:eastAsia="仿宋_GB2312"/>
          <w:sz w:val="30"/>
          <w:szCs w:val="30"/>
        </w:rPr>
      </w:pPr>
    </w:p>
    <w:p>
      <w:pPr>
        <w:spacing w:line="560" w:lineRule="exact"/>
        <w:ind w:firstLine="450" w:firstLineChars="150"/>
        <w:rPr>
          <w:rFonts w:ascii="仿宋_GB2312" w:hAnsi="黑体" w:eastAsia="仿宋_GB2312"/>
          <w:sz w:val="30"/>
          <w:szCs w:val="30"/>
        </w:rPr>
      </w:pPr>
    </w:p>
    <w:p>
      <w:pPr>
        <w:spacing w:line="560" w:lineRule="exact"/>
        <w:ind w:firstLine="450" w:firstLineChars="150"/>
        <w:rPr>
          <w:rFonts w:ascii="仿宋_GB2312" w:hAnsi="黑体" w:eastAsia="仿宋_GB2312"/>
          <w:sz w:val="30"/>
          <w:szCs w:val="30"/>
        </w:rPr>
      </w:pPr>
    </w:p>
    <w:p>
      <w:pPr>
        <w:spacing w:line="560" w:lineRule="exact"/>
        <w:ind w:firstLine="450" w:firstLineChars="150"/>
        <w:rPr>
          <w:rFonts w:ascii="仿宋_GB2312" w:hAnsi="黑体" w:eastAsia="仿宋_GB2312"/>
          <w:sz w:val="30"/>
          <w:szCs w:val="30"/>
        </w:rPr>
      </w:pPr>
    </w:p>
    <w:p>
      <w:pPr>
        <w:spacing w:line="560" w:lineRule="exact"/>
        <w:ind w:firstLine="450" w:firstLineChars="150"/>
        <w:outlineLvl w:val="0"/>
        <w:rPr>
          <w:rFonts w:ascii="仿宋_GB2312" w:hAnsi="黑体" w:eastAsia="仿宋_GB2312"/>
          <w:sz w:val="30"/>
          <w:szCs w:val="30"/>
        </w:rPr>
      </w:pPr>
      <w:r>
        <w:rPr>
          <w:rFonts w:hint="eastAsia" w:ascii="仿宋_GB2312" w:hAnsi="黑体" w:eastAsia="仿宋_GB2312"/>
          <w:sz w:val="30"/>
          <w:szCs w:val="30"/>
        </w:rPr>
        <w:t>2、申请书</w:t>
      </w:r>
    </w:p>
    <w:p>
      <w:pPr>
        <w:spacing w:line="560" w:lineRule="exact"/>
        <w:jc w:val="center"/>
        <w:rPr>
          <w:rFonts w:ascii="仿宋_GB2312" w:hAnsi="黑体" w:eastAsia="仿宋_GB2312"/>
          <w:b/>
          <w:sz w:val="44"/>
          <w:szCs w:val="44"/>
        </w:rPr>
      </w:pPr>
    </w:p>
    <w:p>
      <w:pPr>
        <w:spacing w:line="560" w:lineRule="exact"/>
        <w:jc w:val="center"/>
        <w:outlineLvl w:val="1"/>
        <w:rPr>
          <w:rFonts w:ascii="仿宋_GB2312" w:hAnsi="黑体" w:eastAsia="仿宋_GB2312"/>
          <w:b/>
          <w:sz w:val="44"/>
          <w:szCs w:val="44"/>
        </w:rPr>
      </w:pPr>
      <w:r>
        <w:rPr>
          <w:rFonts w:hint="eastAsia" w:ascii="仿宋_GB2312" w:hAnsi="黑体" w:eastAsia="仿宋_GB2312"/>
          <w:b/>
          <w:sz w:val="44"/>
          <w:szCs w:val="44"/>
        </w:rPr>
        <w:t>XXX银行</w:t>
      </w:r>
    </w:p>
    <w:p>
      <w:pPr>
        <w:spacing w:line="560" w:lineRule="exact"/>
        <w:jc w:val="center"/>
        <w:rPr>
          <w:rFonts w:ascii="仿宋_GB2312" w:hAnsi="黑体" w:eastAsia="仿宋_GB2312"/>
          <w:sz w:val="32"/>
          <w:szCs w:val="32"/>
        </w:rPr>
      </w:pPr>
      <w:r>
        <w:rPr>
          <w:rFonts w:ascii="仿宋_GB2312" w:hAnsi="黑体" w:eastAsia="仿宋_GB2312" w:cs="黑体"/>
          <w:snapToGrid w:val="0"/>
          <w:color w:val="000000"/>
          <w:kern w:val="2"/>
          <w:sz w:val="32"/>
          <w:szCs w:val="32"/>
          <w:lang w:val="en-US" w:eastAsia="zh-CN" w:bidi="ar-SA"/>
        </w:rPr>
        <w:pict>
          <v:shape id="Straight Connector 123" o:spid="_x0000_s1100" type="#_x0000_t32" style="position:absolute;left:0;flip:y;margin-left:-19.2pt;margin-top:1.15pt;height:0.6pt;width:427.2pt;rotation:0f;z-index:251663360;" o:ole="f" fillcolor="#FFFFFF" filled="t" o:preferrelative="t" stroked="t" coordorigin="0,0" coordsize="21600,21600">
            <v:stroke color="#FF0000" color2="#FFFFFF" miterlimit="2"/>
            <v:imagedata gain="65536f" blacklevel="0f" gamma="0"/>
            <o:lock v:ext="edit" position="f" selection="f" grouping="f" rotation="f" cropping="f" text="f" aspectratio="f"/>
          </v:shape>
        </w:pict>
      </w:r>
      <w:r>
        <w:rPr>
          <w:rFonts w:hint="eastAsia" w:ascii="仿宋_GB2312" w:hAnsi="黑体" w:eastAsia="仿宋_GB2312"/>
          <w:sz w:val="32"/>
          <w:szCs w:val="32"/>
        </w:rPr>
        <w:t>XXX〔20XX〕XX号</w:t>
      </w:r>
    </w:p>
    <w:p>
      <w:pPr>
        <w:spacing w:line="560" w:lineRule="exact"/>
        <w:jc w:val="center"/>
        <w:rPr>
          <w:rFonts w:ascii="仿宋_GB2312" w:hAnsi="黑体" w:eastAsia="仿宋_GB2312"/>
          <w:sz w:val="32"/>
          <w:szCs w:val="32"/>
        </w:rPr>
      </w:pPr>
    </w:p>
    <w:p>
      <w:pPr>
        <w:spacing w:line="560" w:lineRule="exact"/>
        <w:jc w:val="center"/>
        <w:outlineLvl w:val="0"/>
        <w:rPr>
          <w:rFonts w:ascii="方正小标宋_GBK" w:hAnsi="方正小标宋_GBK" w:eastAsia="方正小标宋_GBK"/>
          <w:sz w:val="36"/>
          <w:szCs w:val="36"/>
        </w:rPr>
      </w:pPr>
      <w:r>
        <w:rPr>
          <w:rFonts w:hint="eastAsia" w:ascii="方正小标宋_GBK" w:hAnsi="方正小标宋_GBK" w:eastAsia="方正小标宋_GBK"/>
          <w:sz w:val="36"/>
          <w:szCs w:val="36"/>
          <w:lang w:eastAsia="zh-CN"/>
        </w:rPr>
        <w:t>巴彦淖尔市地方</w:t>
      </w:r>
      <w:r>
        <w:rPr>
          <w:rFonts w:hint="eastAsia" w:ascii="方正小标宋_GBK" w:hAnsi="方正小标宋_GBK" w:eastAsia="方正小标宋_GBK"/>
          <w:sz w:val="36"/>
          <w:szCs w:val="36"/>
        </w:rPr>
        <w:t>国库集中收付业务</w:t>
      </w:r>
    </w:p>
    <w:p>
      <w:pPr>
        <w:spacing w:line="560" w:lineRule="exact"/>
        <w:jc w:val="center"/>
        <w:outlineLvl w:val="0"/>
        <w:rPr>
          <w:rFonts w:ascii="方正小标宋_GBK" w:hAnsi="方正小标宋_GBK" w:eastAsia="方正小标宋_GBK"/>
          <w:sz w:val="36"/>
          <w:szCs w:val="36"/>
        </w:rPr>
      </w:pPr>
      <w:r>
        <w:rPr>
          <w:rFonts w:hint="eastAsia" w:ascii="方正小标宋_GBK" w:hAnsi="方正小标宋_GBK" w:eastAsia="方正小标宋_GBK"/>
          <w:sz w:val="36"/>
          <w:szCs w:val="36"/>
        </w:rPr>
        <w:t>代理银行资格申请书</w:t>
      </w:r>
    </w:p>
    <w:p>
      <w:pPr>
        <w:spacing w:line="560" w:lineRule="exact"/>
        <w:rPr>
          <w:rFonts w:ascii="仿宋_GB2312" w:hAnsi="黑体" w:eastAsia="仿宋_GB2312"/>
          <w:sz w:val="30"/>
          <w:szCs w:val="30"/>
        </w:rPr>
      </w:pPr>
    </w:p>
    <w:p>
      <w:pPr>
        <w:spacing w:line="560" w:lineRule="exact"/>
        <w:rPr>
          <w:rFonts w:ascii="仿宋_GB2312" w:hAnsi="黑体" w:eastAsia="仿宋_GB2312"/>
          <w:sz w:val="30"/>
          <w:szCs w:val="30"/>
        </w:rPr>
      </w:pPr>
      <w:r>
        <w:rPr>
          <w:rFonts w:hint="eastAsia" w:ascii="仿宋_GB2312" w:hAnsi="黑体" w:eastAsia="仿宋_GB2312"/>
          <w:sz w:val="32"/>
          <w:szCs w:val="32"/>
        </w:rPr>
        <w:t>中国人民银行</w:t>
      </w:r>
      <w:r>
        <w:rPr>
          <w:rFonts w:hint="eastAsia" w:ascii="仿宋_GB2312" w:hAnsi="黑体" w:eastAsia="仿宋_GB2312"/>
          <w:sz w:val="32"/>
          <w:szCs w:val="32"/>
          <w:lang w:eastAsia="zh-CN"/>
        </w:rPr>
        <w:t>巴彦淖尔市</w:t>
      </w:r>
      <w:r>
        <w:rPr>
          <w:rFonts w:hint="eastAsia" w:ascii="仿宋_GB2312" w:hAnsi="黑体" w:eastAsia="仿宋_GB2312"/>
          <w:sz w:val="32"/>
          <w:szCs w:val="32"/>
        </w:rPr>
        <w:t>分行：</w:t>
      </w:r>
    </w:p>
    <w:p>
      <w:pPr>
        <w:spacing w:line="560" w:lineRule="exact"/>
        <w:ind w:firstLine="585"/>
        <w:rPr>
          <w:rFonts w:ascii="仿宋_GB2312" w:hAnsi="黑体" w:eastAsia="仿宋_GB2312"/>
          <w:sz w:val="30"/>
          <w:szCs w:val="30"/>
        </w:rPr>
      </w:pPr>
      <w:r>
        <w:rPr>
          <w:rFonts w:hint="eastAsia" w:ascii="仿宋_GB2312" w:hAnsi="黑体" w:eastAsia="仿宋_GB2312"/>
          <w:sz w:val="32"/>
          <w:szCs w:val="32"/>
        </w:rPr>
        <w:t>我行拟申请XXX</w:t>
      </w:r>
      <w:r>
        <w:rPr>
          <w:rFonts w:hint="eastAsia" w:ascii="仿宋_GB2312" w:hAnsi="黑体" w:eastAsia="仿宋_GB2312"/>
          <w:sz w:val="32"/>
          <w:szCs w:val="32"/>
          <w:lang w:val="en-US" w:eastAsia="zh-CN"/>
        </w:rPr>
        <w:t>市</w:t>
      </w:r>
      <w:r>
        <w:rPr>
          <w:rFonts w:hint="eastAsia" w:ascii="仿宋_GB2312" w:hAnsi="黑体" w:eastAsia="仿宋_GB2312"/>
          <w:sz w:val="32"/>
          <w:szCs w:val="32"/>
        </w:rPr>
        <w:t>（地市、旗县区）一级国库集中收付代理银行资格，按照相关制度规定及《XXX关于开展国库集中收付代理银行资格认定工作的通知》要求，特提供以下申请材料及情况说明：</w:t>
      </w:r>
    </w:p>
    <w:p>
      <w:pPr>
        <w:spacing w:line="560" w:lineRule="exact"/>
        <w:rPr>
          <w:rFonts w:ascii="仿宋_GB2312" w:hAnsi="黑体" w:eastAsia="仿宋_GB2312"/>
          <w:color w:val="565656"/>
          <w:sz w:val="30"/>
          <w:szCs w:val="30"/>
        </w:rPr>
      </w:pPr>
      <w:r>
        <w:rPr>
          <w:rFonts w:hint="eastAsia" w:ascii="仿宋_GB2312" w:hAnsi="黑体" w:eastAsia="仿宋_GB2312"/>
          <w:sz w:val="30"/>
          <w:szCs w:val="30"/>
        </w:rPr>
        <w:t xml:space="preserve">    </w:t>
      </w:r>
      <w:r>
        <w:rPr>
          <w:rFonts w:hint="eastAsia" w:ascii="仿宋_GB2312" w:hAnsi="黑体" w:eastAsia="仿宋_GB2312"/>
          <w:color w:val="565656"/>
          <w:sz w:val="30"/>
          <w:szCs w:val="30"/>
        </w:rPr>
        <w:t>前十大股东控股情况、申请机构的部门设置分工、主管部门职责、岗位职责、人员配备、网点分布、内控管理建设、信息系统建设、资金汇划</w:t>
      </w:r>
      <w:r>
        <w:rPr>
          <w:rFonts w:hint="eastAsia" w:ascii="仿宋_GB2312" w:hAnsi="黑体" w:eastAsia="仿宋_GB2312"/>
          <w:color w:val="565656"/>
          <w:sz w:val="30"/>
          <w:szCs w:val="30"/>
          <w:lang w:val="en-US" w:eastAsia="zh-CN"/>
        </w:rPr>
        <w:t>方式</w:t>
      </w:r>
      <w:r>
        <w:rPr>
          <w:rFonts w:hint="eastAsia" w:ascii="仿宋_GB2312" w:hAnsi="黑体" w:eastAsia="仿宋_GB2312"/>
          <w:color w:val="565656"/>
          <w:sz w:val="30"/>
          <w:szCs w:val="30"/>
        </w:rPr>
        <w:t>渠道、国库集中收付业务管理办法和操作规程、风险防范机制，根据国库集中收付业务需要制定的计算机硬件配置、软件开发和联网通讯方案等配套措施（含与财政预算管理一体化系统联网情况）、办理财税业务及代理国库业务情况、服务承诺及其他相关内容等。</w:t>
      </w:r>
    </w:p>
    <w:p>
      <w:pPr>
        <w:spacing w:line="560" w:lineRule="exact"/>
        <w:ind w:firstLine="585"/>
        <w:rPr>
          <w:rFonts w:ascii="仿宋_GB2312" w:hAnsi="黑体" w:eastAsia="仿宋_GB2312"/>
          <w:sz w:val="30"/>
          <w:szCs w:val="30"/>
        </w:rPr>
      </w:pPr>
      <w:r>
        <w:rPr>
          <w:rFonts w:ascii="仿宋_GB2312" w:hAnsi="黑体" w:eastAsia="仿宋_GB2312"/>
          <w:sz w:val="30"/>
          <w:szCs w:val="30"/>
        </w:rPr>
        <w:t>………</w:t>
      </w:r>
      <w:r>
        <w:rPr>
          <w:rFonts w:hint="eastAsia" w:ascii="仿宋_GB2312" w:hAnsi="黑体" w:eastAsia="仿宋_GB2312"/>
          <w:sz w:val="30"/>
          <w:szCs w:val="30"/>
        </w:rPr>
        <w:t>。</w:t>
      </w:r>
    </w:p>
    <w:p>
      <w:pPr>
        <w:spacing w:line="560" w:lineRule="exact"/>
        <w:ind w:right="600"/>
        <w:jc w:val="center"/>
        <w:outlineLvl w:val="1"/>
        <w:rPr>
          <w:rFonts w:ascii="仿宋_GB2312" w:hAnsi="黑体" w:eastAsia="仿宋_GB2312"/>
          <w:sz w:val="30"/>
          <w:szCs w:val="30"/>
        </w:rPr>
      </w:pPr>
      <w:r>
        <w:rPr>
          <w:rFonts w:hint="eastAsia" w:ascii="仿宋_GB2312" w:hAnsi="黑体" w:eastAsia="仿宋_GB2312"/>
          <w:sz w:val="30"/>
          <w:szCs w:val="30"/>
        </w:rPr>
        <w:t xml:space="preserve">                                           XXX银行</w:t>
      </w:r>
    </w:p>
    <w:p>
      <w:pPr>
        <w:spacing w:line="560" w:lineRule="exact"/>
        <w:ind w:right="150"/>
        <w:jc w:val="right"/>
        <w:rPr>
          <w:rFonts w:ascii="仿宋_GB2312" w:hAnsi="黑体" w:eastAsia="仿宋_GB2312"/>
          <w:sz w:val="30"/>
          <w:szCs w:val="30"/>
        </w:rPr>
      </w:pPr>
      <w:r>
        <w:rPr>
          <w:rFonts w:hint="eastAsia" w:ascii="仿宋_GB2312" w:hAnsi="黑体" w:eastAsia="仿宋_GB2312"/>
          <w:sz w:val="30"/>
          <w:szCs w:val="30"/>
        </w:rPr>
        <w:t>20XX年X月X日</w:t>
      </w:r>
    </w:p>
    <w:p>
      <w:pPr>
        <w:widowControl/>
        <w:adjustRightInd w:val="0"/>
        <w:snapToGrid w:val="0"/>
        <w:spacing w:line="520" w:lineRule="atLeast"/>
        <w:ind w:firstLine="450" w:firstLineChars="150"/>
        <w:rPr>
          <w:rFonts w:hint="eastAsia"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hint="eastAsia" w:ascii="仿宋_GB2312" w:hAnsi="方正小标宋_GBK" w:eastAsia="仿宋_GB2312" w:cs="Times New Roman"/>
          <w:kern w:val="0"/>
          <w:sz w:val="30"/>
          <w:szCs w:val="30"/>
        </w:rPr>
      </w:pPr>
    </w:p>
    <w:p>
      <w:pPr>
        <w:widowControl/>
        <w:adjustRightInd w:val="0"/>
        <w:snapToGrid w:val="0"/>
        <w:spacing w:line="520" w:lineRule="atLeast"/>
        <w:ind w:firstLine="450" w:firstLineChars="150"/>
        <w:outlineLvl w:val="0"/>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3、金融许可证和营业执照</w:t>
      </w: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jc w:val="center"/>
        <w:rPr>
          <w:rFonts w:ascii="仿宋_GB2312" w:hAnsi="方正小标宋_GBK" w:eastAsia="仿宋_GB2312" w:cs="Times New Roman"/>
          <w:kern w:val="0"/>
          <w:sz w:val="30"/>
          <w:szCs w:val="30"/>
        </w:rPr>
      </w:pPr>
      <w:r>
        <w:rPr>
          <w:rFonts w:ascii="仿宋_GB2312" w:hAnsi="方正小标宋_GBK" w:eastAsia="仿宋_GB2312" w:cs="Times New Roman"/>
          <w:snapToGrid w:val="0"/>
          <w:color w:val="000000"/>
          <w:kern w:val="0"/>
          <w:sz w:val="30"/>
          <w:szCs w:val="30"/>
          <w:lang w:val="en-US" w:eastAsia="zh-CN" w:bidi="ar-SA"/>
        </w:rPr>
        <w:pict>
          <v:shape id="Picture 1" o:spid="_x0000_s1101" type="#_x0000_t75" style="height:241.65pt;width:325.7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jc w:val="center"/>
        <w:rPr>
          <w:rFonts w:ascii="仿宋_GB2312" w:hAnsi="方正小标宋_GBK" w:eastAsia="仿宋_GB2312" w:cs="Times New Roman"/>
          <w:kern w:val="0"/>
          <w:sz w:val="30"/>
          <w:szCs w:val="30"/>
        </w:rPr>
      </w:pPr>
      <w:r>
        <w:rPr>
          <w:rFonts w:ascii="仿宋_GB2312" w:hAnsi="方正小标宋_GBK" w:eastAsia="仿宋_GB2312" w:cs="Times New Roman"/>
          <w:snapToGrid w:val="0"/>
          <w:color w:val="000000"/>
          <w:kern w:val="0"/>
          <w:sz w:val="30"/>
          <w:szCs w:val="30"/>
          <w:lang w:val="en-US" w:eastAsia="zh-CN" w:bidi="ar-SA"/>
        </w:rPr>
        <w:pict>
          <v:shape id="Picture 2" o:spid="_x0000_s1102" type="#_x0000_t75" style="height:221.5pt;width:324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widowControl/>
        <w:adjustRightInd w:val="0"/>
        <w:snapToGrid w:val="0"/>
        <w:spacing w:line="520" w:lineRule="atLeast"/>
        <w:ind w:firstLine="450" w:firstLineChars="150"/>
        <w:jc w:val="center"/>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rPr>
          <w:rFonts w:ascii="仿宋_GB2312" w:hAnsi="方正小标宋_GBK" w:eastAsia="仿宋_GB2312" w:cs="Times New Roman"/>
          <w:kern w:val="0"/>
          <w:sz w:val="30"/>
          <w:szCs w:val="30"/>
        </w:rPr>
      </w:pPr>
    </w:p>
    <w:p>
      <w:pPr>
        <w:widowControl/>
        <w:adjustRightInd w:val="0"/>
        <w:snapToGrid w:val="0"/>
        <w:spacing w:line="520" w:lineRule="atLeast"/>
        <w:ind w:firstLine="450" w:firstLineChars="150"/>
        <w:outlineLvl w:val="0"/>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4、告知书</w:t>
      </w:r>
    </w:p>
    <w:p>
      <w:pPr>
        <w:widowControl/>
        <w:autoSpaceDN w:val="0"/>
        <w:spacing w:line="560" w:lineRule="exact"/>
        <w:jc w:val="center"/>
        <w:rPr>
          <w:rFonts w:ascii="方正小标宋_GBK" w:hAnsi="方正小标宋_GBK" w:eastAsia="方正小标宋_GBK" w:cs="Times New Roman"/>
          <w:kern w:val="0"/>
          <w:sz w:val="44"/>
          <w:szCs w:val="44"/>
        </w:rPr>
      </w:pPr>
    </w:p>
    <w:p>
      <w:pPr>
        <w:widowControl/>
        <w:autoSpaceDN w:val="0"/>
        <w:spacing w:line="560" w:lineRule="exact"/>
        <w:jc w:val="center"/>
        <w:outlineLvl w:val="0"/>
        <w:rPr>
          <w:rFonts w:ascii="方正小标宋_GBK" w:hAnsi="方正小标宋_GBK" w:eastAsia="方正小标宋_GBK" w:cs="Times New Roman"/>
          <w:kern w:val="0"/>
          <w:sz w:val="44"/>
          <w:szCs w:val="44"/>
        </w:rPr>
      </w:pPr>
      <w:r>
        <w:rPr>
          <w:rFonts w:hint="eastAsia" w:ascii="方正小标宋_GBK" w:hAnsi="方正小标宋_GBK" w:eastAsia="方正小标宋_GBK" w:cs="Times New Roman"/>
          <w:kern w:val="0"/>
          <w:sz w:val="44"/>
          <w:szCs w:val="44"/>
        </w:rPr>
        <w:t>告知书</w:t>
      </w:r>
    </w:p>
    <w:p>
      <w:pPr>
        <w:widowControl/>
        <w:autoSpaceDN w:val="0"/>
        <w:spacing w:line="560" w:lineRule="exact"/>
        <w:ind w:firstLine="600"/>
        <w:rPr>
          <w:rFonts w:ascii="黑体" w:hAnsi="黑体" w:eastAsia="黑体" w:cs="Times New Roman"/>
          <w:kern w:val="0"/>
          <w:sz w:val="30"/>
          <w:szCs w:val="30"/>
        </w:rPr>
      </w:pPr>
    </w:p>
    <w:p>
      <w:pPr>
        <w:widowControl/>
        <w:autoSpaceDN w:val="0"/>
        <w:spacing w:line="560" w:lineRule="exact"/>
        <w:ind w:firstLine="600"/>
        <w:outlineLvl w:val="0"/>
        <w:rPr>
          <w:rFonts w:ascii="黑体" w:hAnsi="黑体" w:eastAsia="黑体" w:cs="Times New Roman"/>
          <w:kern w:val="0"/>
          <w:sz w:val="30"/>
          <w:szCs w:val="30"/>
        </w:rPr>
      </w:pPr>
      <w:r>
        <w:rPr>
          <w:rFonts w:hint="eastAsia" w:ascii="黑体" w:hAnsi="黑体" w:eastAsia="黑体" w:cs="Times New Roman"/>
          <w:kern w:val="0"/>
          <w:sz w:val="30"/>
          <w:szCs w:val="30"/>
        </w:rPr>
        <w:t>一、行政主体基本信息</w:t>
      </w:r>
    </w:p>
    <w:p>
      <w:pPr>
        <w:widowControl/>
        <w:spacing w:line="560" w:lineRule="exact"/>
        <w:ind w:firstLine="600"/>
        <w:rPr>
          <w:rFonts w:ascii="仿宋_GB2312" w:hAnsi="Times New Roman" w:eastAsia="仿宋_GB2312" w:cs="Times New Roman"/>
          <w:bCs/>
          <w:kern w:val="0"/>
          <w:sz w:val="30"/>
          <w:szCs w:val="30"/>
        </w:rPr>
      </w:pPr>
      <w:r>
        <w:rPr>
          <w:rFonts w:hint="eastAsia" w:ascii="仿宋_GB2312" w:hAnsi="Times New Roman" w:eastAsia="仿宋_GB2312" w:cs="Times New Roman"/>
          <w:kern w:val="0"/>
          <w:sz w:val="30"/>
          <w:szCs w:val="30"/>
        </w:rPr>
        <w:t>名称：</w:t>
      </w:r>
      <w:r>
        <w:rPr>
          <w:rFonts w:hint="eastAsia" w:ascii="仿宋_GB2312" w:hAnsi="Times New Roman" w:eastAsia="仿宋_GB2312" w:cs="Times New Roman"/>
          <w:bCs/>
          <w:kern w:val="0"/>
          <w:sz w:val="30"/>
          <w:szCs w:val="30"/>
          <w:u w:val="single"/>
        </w:rPr>
        <w:t>中国人民银行</w:t>
      </w:r>
      <w:r>
        <w:rPr>
          <w:rFonts w:hint="eastAsia" w:ascii="仿宋_GB2312" w:hAnsi="Times New Roman" w:eastAsia="仿宋_GB2312" w:cs="Times New Roman"/>
          <w:bCs/>
          <w:kern w:val="0"/>
          <w:sz w:val="30"/>
          <w:szCs w:val="30"/>
          <w:u w:val="single"/>
          <w:lang w:eastAsia="zh-CN"/>
        </w:rPr>
        <w:t>巴彦淖尔市</w:t>
      </w:r>
      <w:r>
        <w:rPr>
          <w:rFonts w:hint="eastAsia" w:ascii="仿宋_GB2312" w:hAnsi="Times New Roman" w:eastAsia="仿宋_GB2312" w:cs="Times New Roman"/>
          <w:bCs/>
          <w:kern w:val="0"/>
          <w:sz w:val="30"/>
          <w:szCs w:val="30"/>
          <w:u w:val="single"/>
        </w:rPr>
        <w:t>分行</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联系方式：</w:t>
      </w:r>
    </w:p>
    <w:p>
      <w:pPr>
        <w:widowControl/>
        <w:spacing w:line="560" w:lineRule="exact"/>
        <w:ind w:firstLine="600"/>
        <w:outlineLvl w:val="0"/>
        <w:rPr>
          <w:rFonts w:ascii="黑体" w:hAnsi="黑体" w:eastAsia="黑体" w:cs="Times New Roman"/>
          <w:kern w:val="0"/>
          <w:sz w:val="30"/>
          <w:szCs w:val="30"/>
        </w:rPr>
      </w:pPr>
      <w:r>
        <w:rPr>
          <w:rFonts w:hint="eastAsia" w:ascii="黑体" w:hAnsi="黑体" w:eastAsia="黑体" w:cs="Times New Roman"/>
          <w:kern w:val="0"/>
          <w:sz w:val="30"/>
          <w:szCs w:val="30"/>
        </w:rPr>
        <w:t>二、行政主体告知</w:t>
      </w:r>
    </w:p>
    <w:p>
      <w:pPr>
        <w:widowControl/>
        <w:spacing w:line="560" w:lineRule="exact"/>
        <w:ind w:firstLine="600"/>
        <w:outlineLvl w:val="1"/>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（一）证明事项名称。</w:t>
      </w:r>
    </w:p>
    <w:p>
      <w:pPr>
        <w:widowControl/>
        <w:spacing w:line="560" w:lineRule="exact"/>
        <w:ind w:firstLine="585"/>
        <w:jc w:val="lef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1.营业执照、金融许可证；</w:t>
      </w:r>
    </w:p>
    <w:p>
      <w:pPr>
        <w:widowControl/>
        <w:spacing w:line="560" w:lineRule="exact"/>
        <w:ind w:firstLine="585"/>
        <w:jc w:val="left"/>
        <w:rPr>
          <w:rFonts w:ascii="仿宋_GB2312" w:hAnsi="Times New Roman" w:eastAsia="仿宋_GB2312" w:cs="Times New Roman"/>
          <w:b/>
          <w:bCs/>
          <w:kern w:val="0"/>
          <w:sz w:val="30"/>
          <w:szCs w:val="30"/>
          <w:u w:val="single"/>
        </w:rPr>
      </w:pPr>
      <w:r>
        <w:rPr>
          <w:rFonts w:hint="eastAsia" w:ascii="仿宋_GB2312" w:hAnsi="Times New Roman" w:eastAsia="仿宋_GB2312" w:cs="Times New Roman"/>
          <w:kern w:val="0"/>
          <w:sz w:val="30"/>
          <w:szCs w:val="30"/>
        </w:rPr>
        <w:t>2.金融监管部门、政府审计部门、会计师事务所作出的最新监管报告、审计报告。</w:t>
      </w:r>
    </w:p>
    <w:p>
      <w:pPr>
        <w:widowControl/>
        <w:spacing w:line="560" w:lineRule="exact"/>
        <w:ind w:firstLine="600"/>
        <w:outlineLvl w:val="1"/>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（二）证明事项的证明内容。</w:t>
      </w:r>
    </w:p>
    <w:p>
      <w:pPr>
        <w:widowControl/>
        <w:spacing w:line="560" w:lineRule="exact"/>
        <w:jc w:val="left"/>
        <w:rPr>
          <w:rFonts w:ascii="楷体_GB2312" w:hAnsi="Times New Roman" w:eastAsia="楷体_GB2312" w:cs="Times New Roman"/>
          <w:kern w:val="0"/>
          <w:sz w:val="30"/>
          <w:szCs w:val="30"/>
        </w:rPr>
      </w:pPr>
      <w:r>
        <w:rPr>
          <w:rFonts w:hint="eastAsia" w:ascii="仿宋_GB2312" w:hAnsi="Times New Roman" w:eastAsia="仿宋_GB2312" w:cs="Times New Roman"/>
          <w:kern w:val="0"/>
          <w:sz w:val="30"/>
          <w:szCs w:val="30"/>
        </w:rPr>
        <w:t xml:space="preserve">    证明申请人具备申请办理国库集中收付业务代理银行的资质。</w:t>
      </w:r>
    </w:p>
    <w:p>
      <w:pPr>
        <w:widowControl/>
        <w:spacing w:line="560" w:lineRule="exact"/>
        <w:ind w:firstLine="600"/>
        <w:outlineLvl w:val="1"/>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（三）证明事项的设定依据。</w:t>
      </w:r>
    </w:p>
    <w:p>
      <w:pPr>
        <w:spacing w:line="560" w:lineRule="exact"/>
        <w:ind w:firstLine="600" w:firstLineChars="200"/>
        <w:rPr>
          <w:rFonts w:ascii="仿宋_GB2312" w:hAnsi="Times New Roman" w:eastAsia="仿宋_GB2312" w:cs="Times New Roman"/>
          <w:kern w:val="0"/>
          <w:sz w:val="30"/>
          <w:szCs w:val="30"/>
        </w:rPr>
      </w:pPr>
      <w:bookmarkStart w:id="0" w:name="_GoBack"/>
      <w:r>
        <w:rPr>
          <w:rFonts w:hint="eastAsia" w:ascii="仿宋_GB2312" w:hAnsi="黑体" w:eastAsia="仿宋_GB2312" w:cs="Times New Roman"/>
          <w:sz w:val="30"/>
          <w:szCs w:val="30"/>
        </w:rPr>
        <w:t>《国务院对确需保留的行政审批项目设定行政许可的决定》（国务院令第412号）、《国务院办公厅关于全面实行行政许可事项清单管理的通知》（国办发〔2022〕2号）、</w:t>
      </w:r>
      <w:r>
        <w:rPr>
          <w:rFonts w:hint="eastAsia" w:ascii="仿宋_GB2312" w:hAnsi="黑体" w:eastAsia="仿宋_GB2312" w:cs="Times New Roman"/>
          <w:sz w:val="30"/>
          <w:szCs w:val="30"/>
          <w:highlight w:val="none"/>
        </w:rPr>
        <w:t>《法律、行政法规、国务院决定设定的行政许可事项清单（2025年5月6日）》</w:t>
      </w:r>
      <w:r>
        <w:rPr>
          <w:rFonts w:hint="eastAsia" w:ascii="仿宋_GB2312" w:hAnsi="黑体" w:eastAsia="仿宋_GB2312" w:cs="Times New Roman"/>
          <w:sz w:val="30"/>
          <w:szCs w:val="30"/>
        </w:rPr>
        <w:t>、</w:t>
      </w:r>
      <w:r>
        <w:rPr>
          <w:rFonts w:hint="eastAsia" w:ascii="仿宋_GB2312" w:hAnsi="Times New Roman" w:eastAsia="仿宋_GB2312" w:cs="Times New Roman"/>
          <w:kern w:val="0"/>
          <w:sz w:val="30"/>
          <w:szCs w:val="30"/>
        </w:rPr>
        <w:t>《中国人民银行关于明确地方国库集中收付代理银行资格认定有关事项的通知》（银发〔2019〕385号）第一条“申请条件至少应当包括以下内容：依法持有《金融许可证》；依法持有营业执照，并年检合格；资金实力雄厚，资产状况良好，具有较强的风险控制能力和较好的经营业绩</w:t>
      </w:r>
      <w:r>
        <w:rPr>
          <w:rFonts w:ascii="仿宋_GB2312" w:hAnsi="Times New Roman" w:eastAsia="仿宋_GB2312" w:cs="Times New Roman"/>
          <w:kern w:val="0"/>
          <w:sz w:val="30"/>
          <w:szCs w:val="30"/>
        </w:rPr>
        <w:t>……</w:t>
      </w:r>
      <w:r>
        <w:rPr>
          <w:rFonts w:hint="eastAsia" w:ascii="仿宋_GB2312" w:hAnsi="Times New Roman" w:eastAsia="仿宋_GB2312" w:cs="Times New Roman"/>
          <w:kern w:val="0"/>
          <w:sz w:val="30"/>
          <w:szCs w:val="30"/>
        </w:rPr>
        <w:t>”等规定。</w:t>
      </w:r>
    </w:p>
    <w:bookmarkEnd w:id="0"/>
    <w:p>
      <w:pPr>
        <w:widowControl/>
        <w:spacing w:line="560" w:lineRule="exact"/>
        <w:ind w:firstLine="600"/>
        <w:outlineLvl w:val="1"/>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（四）告知承诺制的适用对象。</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可自主选择是否采用告知承诺替代证明。申请人如不愿承诺或者无法承诺的，应当提交本证明事项所需证明材料。存在较严重的不良信用记录或者存在曾作出虚假承诺等情形的申请人，在信用修复前不得申请适用告知承诺制。</w:t>
      </w:r>
    </w:p>
    <w:p>
      <w:pPr>
        <w:widowControl/>
        <w:spacing w:line="560" w:lineRule="exact"/>
        <w:ind w:firstLine="600"/>
        <w:outlineLvl w:val="1"/>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（五）承诺方式及法律效力。</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本证明事项采用书面承诺方式，申请人愿意作出承诺的，应当向</w:t>
      </w:r>
      <w:r>
        <w:rPr>
          <w:rFonts w:hint="eastAsia" w:ascii="仿宋_GB2312" w:hAnsi="Times New Roman" w:eastAsia="仿宋_GB2312" w:cs="Times New Roman"/>
          <w:kern w:val="0"/>
          <w:sz w:val="30"/>
          <w:szCs w:val="30"/>
          <w:u w:val="single"/>
        </w:rPr>
        <w:t>中国人民银行</w:t>
      </w:r>
      <w:r>
        <w:rPr>
          <w:rFonts w:hint="eastAsia" w:ascii="仿宋_GB2312" w:hAnsi="Times New Roman" w:eastAsia="仿宋_GB2312" w:cs="Times New Roman"/>
          <w:kern w:val="0"/>
          <w:sz w:val="30"/>
          <w:szCs w:val="30"/>
          <w:u w:val="single"/>
          <w:lang w:eastAsia="zh-CN"/>
        </w:rPr>
        <w:t>巴彦淖尔市</w:t>
      </w:r>
      <w:r>
        <w:rPr>
          <w:rFonts w:hint="eastAsia" w:ascii="仿宋_GB2312" w:hAnsi="Times New Roman" w:eastAsia="仿宋_GB2312" w:cs="Times New Roman"/>
          <w:kern w:val="0"/>
          <w:sz w:val="30"/>
          <w:szCs w:val="30"/>
          <w:u w:val="single"/>
        </w:rPr>
        <w:t>分行</w:t>
      </w:r>
      <w:r>
        <w:rPr>
          <w:rFonts w:hint="eastAsia" w:ascii="仿宋_GB2312" w:hAnsi="Times New Roman" w:eastAsia="仿宋_GB2312" w:cs="Times New Roman"/>
          <w:kern w:val="0"/>
          <w:sz w:val="30"/>
          <w:szCs w:val="30"/>
        </w:rPr>
        <w:t>提交申请人签字或者加盖公章的承诺书原件。本证明事项必须由申请人作出承诺，不可代为承诺。</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申请人书面承诺已经符合告知的条件、要求，并愿意承担不实承诺的法律责任的，</w:t>
      </w:r>
      <w:r>
        <w:rPr>
          <w:rFonts w:hint="eastAsia" w:ascii="仿宋_GB2312" w:hAnsi="Times New Roman" w:eastAsia="仿宋_GB2312" w:cs="Times New Roman"/>
          <w:kern w:val="0"/>
          <w:sz w:val="30"/>
          <w:szCs w:val="30"/>
          <w:u w:val="single"/>
        </w:rPr>
        <w:t>中国人民银行</w:t>
      </w:r>
      <w:r>
        <w:rPr>
          <w:rFonts w:hint="eastAsia" w:ascii="仿宋_GB2312" w:hAnsi="Times New Roman" w:eastAsia="仿宋_GB2312" w:cs="Times New Roman"/>
          <w:kern w:val="0"/>
          <w:sz w:val="30"/>
          <w:szCs w:val="30"/>
          <w:u w:val="single"/>
          <w:lang w:eastAsia="zh-CN"/>
        </w:rPr>
        <w:t>巴彦淖尔市</w:t>
      </w:r>
      <w:r>
        <w:rPr>
          <w:rFonts w:hint="eastAsia" w:ascii="仿宋_GB2312" w:hAnsi="Times New Roman" w:eastAsia="仿宋_GB2312" w:cs="Times New Roman"/>
          <w:kern w:val="0"/>
          <w:sz w:val="30"/>
          <w:szCs w:val="30"/>
          <w:u w:val="single"/>
        </w:rPr>
        <w:t>分行</w:t>
      </w:r>
      <w:r>
        <w:rPr>
          <w:rFonts w:hint="eastAsia" w:ascii="仿宋_GB2312" w:hAnsi="Times New Roman" w:eastAsia="仿宋_GB2312" w:cs="Times New Roman"/>
          <w:kern w:val="0"/>
          <w:sz w:val="30"/>
          <w:szCs w:val="30"/>
        </w:rPr>
        <w:t>不再要求申请人提交本证明事项所需证明材料，依据书面承诺办理相关事项。申请人在行政事项办结前，有合理理由的，可以撤回承诺申请，撤回承诺申请后申请人应当提交本证明事项所需证明材料。</w:t>
      </w:r>
    </w:p>
    <w:p>
      <w:pPr>
        <w:widowControl/>
        <w:spacing w:line="560" w:lineRule="exact"/>
        <w:ind w:firstLine="600"/>
        <w:outlineLvl w:val="1"/>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（六）行政主体的核查权力。</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申请人选择采用告知承诺方式办理行政事项的，</w:t>
      </w:r>
      <w:r>
        <w:rPr>
          <w:rFonts w:hint="eastAsia" w:ascii="仿宋_GB2312" w:hAnsi="Times New Roman" w:eastAsia="仿宋_GB2312" w:cs="Times New Roman"/>
          <w:kern w:val="0"/>
          <w:sz w:val="30"/>
          <w:szCs w:val="30"/>
          <w:u w:val="single"/>
        </w:rPr>
        <w:t>中国人民银行</w:t>
      </w:r>
      <w:r>
        <w:rPr>
          <w:rFonts w:hint="eastAsia" w:ascii="仿宋_GB2312" w:hAnsi="Times New Roman" w:eastAsia="仿宋_GB2312" w:cs="Times New Roman"/>
          <w:kern w:val="0"/>
          <w:sz w:val="30"/>
          <w:szCs w:val="30"/>
          <w:u w:val="single"/>
          <w:lang w:eastAsia="zh-CN"/>
        </w:rPr>
        <w:t>巴彦淖尔市</w:t>
      </w:r>
      <w:r>
        <w:rPr>
          <w:rFonts w:hint="eastAsia" w:ascii="仿宋_GB2312" w:hAnsi="Times New Roman" w:eastAsia="仿宋_GB2312" w:cs="Times New Roman"/>
          <w:kern w:val="0"/>
          <w:sz w:val="30"/>
          <w:szCs w:val="30"/>
          <w:u w:val="single"/>
        </w:rPr>
        <w:t>分行</w:t>
      </w:r>
      <w:r>
        <w:rPr>
          <w:rFonts w:hint="eastAsia" w:ascii="仿宋_GB2312" w:hAnsi="Times New Roman" w:eastAsia="仿宋_GB2312" w:cs="Times New Roman"/>
          <w:kern w:val="0"/>
          <w:sz w:val="30"/>
          <w:szCs w:val="30"/>
        </w:rPr>
        <w:t>有权根据实际情况，采用书面核查、网络核验、实地调查等方式，对申请人承诺的真实性进行核查。</w:t>
      </w:r>
    </w:p>
    <w:p>
      <w:pPr>
        <w:widowControl/>
        <w:spacing w:line="560" w:lineRule="exact"/>
        <w:ind w:firstLine="600"/>
        <w:outlineLvl w:val="1"/>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（七）承诺书公开情况。</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 xml:space="preserve"> 不公开申请人提交的承诺书。</w:t>
      </w:r>
    </w:p>
    <w:p>
      <w:pPr>
        <w:widowControl/>
        <w:spacing w:line="560" w:lineRule="exact"/>
        <w:ind w:firstLine="600"/>
        <w:outlineLvl w:val="1"/>
        <w:rPr>
          <w:rFonts w:ascii="楷体_GB2312" w:hAnsi="Times New Roman" w:eastAsia="楷体_GB2312" w:cs="Times New Roman"/>
          <w:kern w:val="0"/>
          <w:sz w:val="30"/>
          <w:szCs w:val="30"/>
        </w:rPr>
      </w:pPr>
      <w:r>
        <w:rPr>
          <w:rFonts w:hint="eastAsia" w:ascii="楷体_GB2312" w:hAnsi="Times New Roman" w:eastAsia="楷体_GB2312" w:cs="Times New Roman"/>
          <w:kern w:val="0"/>
          <w:sz w:val="30"/>
          <w:szCs w:val="30"/>
        </w:rPr>
        <w:t>（八）不实承诺的法律责任。</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对承诺不实等违法违规行为，</w:t>
      </w:r>
      <w:r>
        <w:rPr>
          <w:rFonts w:hint="eastAsia" w:ascii="仿宋_GB2312" w:hAnsi="Times New Roman" w:eastAsia="仿宋_GB2312" w:cs="Times New Roman"/>
          <w:kern w:val="0"/>
          <w:sz w:val="30"/>
          <w:szCs w:val="30"/>
          <w:u w:val="single"/>
        </w:rPr>
        <w:t>中国人民银行</w:t>
      </w:r>
      <w:r>
        <w:rPr>
          <w:rFonts w:hint="eastAsia" w:ascii="仿宋_GB2312" w:hAnsi="Times New Roman" w:eastAsia="仿宋_GB2312" w:cs="Times New Roman"/>
          <w:kern w:val="0"/>
          <w:sz w:val="30"/>
          <w:szCs w:val="30"/>
          <w:u w:val="single"/>
          <w:lang w:eastAsia="zh-CN"/>
        </w:rPr>
        <w:t>巴彦淖尔市</w:t>
      </w:r>
      <w:r>
        <w:rPr>
          <w:rFonts w:hint="eastAsia" w:ascii="仿宋_GB2312" w:hAnsi="Times New Roman" w:eastAsia="仿宋_GB2312" w:cs="Times New Roman"/>
          <w:kern w:val="0"/>
          <w:sz w:val="30"/>
          <w:szCs w:val="30"/>
          <w:u w:val="single"/>
        </w:rPr>
        <w:t>分行</w:t>
      </w:r>
      <w:r>
        <w:rPr>
          <w:rFonts w:hint="eastAsia" w:ascii="仿宋_GB2312" w:hAnsi="Times New Roman" w:eastAsia="仿宋_GB2312" w:cs="Times New Roman"/>
          <w:kern w:val="0"/>
          <w:sz w:val="30"/>
          <w:szCs w:val="30"/>
        </w:rPr>
        <w:t>有权依法作出如下处理：</w:t>
      </w:r>
      <w:r>
        <w:rPr>
          <w:rFonts w:hint="eastAsia" w:ascii="仿宋_GB2312" w:hAnsi="Times New Roman" w:eastAsia="仿宋_GB2312" w:cs="Times New Roman"/>
          <w:kern w:val="0"/>
          <w:sz w:val="30"/>
          <w:szCs w:val="30"/>
          <w:u w:val="single"/>
        </w:rPr>
        <w:t>终止行政事项办理，撤销行政决定，作出行政处罚等。</w:t>
      </w:r>
    </w:p>
    <w:p>
      <w:pPr>
        <w:widowControl/>
        <w:spacing w:line="560" w:lineRule="exact"/>
        <w:ind w:firstLine="600"/>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申请人因承诺不实受到行政处罚的相关信息将被依法加载至金融信用信息基础数据库。</w:t>
      </w:r>
    </w:p>
    <w:p>
      <w:pPr>
        <w:widowControl/>
        <w:autoSpaceDN w:val="0"/>
        <w:spacing w:line="560" w:lineRule="exact"/>
        <w:ind w:right="735"/>
        <w:jc w:val="right"/>
        <w:rPr>
          <w:rFonts w:ascii="仿宋_GB2312" w:hAnsi="Times New Roman" w:eastAsia="仿宋_GB2312" w:cs="Times New Roman"/>
          <w:kern w:val="0"/>
          <w:sz w:val="30"/>
          <w:szCs w:val="30"/>
        </w:rPr>
      </w:pPr>
    </w:p>
    <w:p>
      <w:pPr>
        <w:widowControl/>
        <w:autoSpaceDN w:val="0"/>
        <w:spacing w:line="560" w:lineRule="exact"/>
        <w:ind w:right="735"/>
        <w:jc w:val="right"/>
        <w:rPr>
          <w:rFonts w:ascii="仿宋_GB2312" w:hAnsi="Times New Roman" w:eastAsia="仿宋_GB2312" w:cs="Times New Roman"/>
          <w:kern w:val="0"/>
          <w:sz w:val="30"/>
          <w:szCs w:val="30"/>
        </w:rPr>
      </w:pPr>
    </w:p>
    <w:p>
      <w:pPr>
        <w:widowControl/>
        <w:autoSpaceDN w:val="0"/>
        <w:spacing w:line="560" w:lineRule="exact"/>
        <w:ind w:right="735"/>
        <w:jc w:val="right"/>
        <w:rPr>
          <w:rFonts w:ascii="仿宋_GB2312" w:hAnsi="Times New Roman" w:eastAsia="仿宋_GB2312" w:cs="Times New Roman"/>
          <w:kern w:val="0"/>
          <w:sz w:val="30"/>
          <w:szCs w:val="30"/>
        </w:rPr>
      </w:pPr>
    </w:p>
    <w:p>
      <w:pPr>
        <w:widowControl/>
        <w:autoSpaceDN w:val="0"/>
        <w:spacing w:line="560" w:lineRule="exact"/>
        <w:ind w:right="735"/>
        <w:jc w:val="right"/>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中国人民银行</w:t>
      </w:r>
      <w:r>
        <w:rPr>
          <w:rFonts w:hint="eastAsia" w:ascii="仿宋_GB2312" w:hAnsi="Times New Roman" w:eastAsia="仿宋_GB2312" w:cs="Times New Roman"/>
          <w:kern w:val="0"/>
          <w:sz w:val="30"/>
          <w:szCs w:val="30"/>
          <w:lang w:eastAsia="zh-CN"/>
        </w:rPr>
        <w:t>巴彦淖尔市</w:t>
      </w:r>
      <w:r>
        <w:rPr>
          <w:rFonts w:hint="eastAsia" w:ascii="仿宋_GB2312" w:hAnsi="Times New Roman" w:eastAsia="仿宋_GB2312" w:cs="Times New Roman"/>
          <w:kern w:val="0"/>
          <w:sz w:val="30"/>
          <w:szCs w:val="30"/>
        </w:rPr>
        <w:t>分行</w:t>
      </w:r>
    </w:p>
    <w:p>
      <w:pPr>
        <w:widowControl/>
        <w:adjustRightInd w:val="0"/>
        <w:snapToGrid w:val="0"/>
        <w:spacing w:line="560" w:lineRule="exact"/>
        <w:ind w:firstLine="4050" w:firstLineChars="1350"/>
        <w:rPr>
          <w:rFonts w:ascii="仿宋_GB2312" w:hAnsi="方正小标宋_GBK" w:eastAsia="仿宋_GB2312" w:cs="Times New Roman"/>
          <w:kern w:val="0"/>
          <w:sz w:val="30"/>
          <w:szCs w:val="30"/>
        </w:rPr>
      </w:pPr>
      <w:r>
        <w:rPr>
          <w:rFonts w:hint="eastAsia" w:ascii="仿宋_GB2312" w:hAnsi="Arial" w:eastAsia="仿宋_GB2312" w:cs="Arial"/>
          <w:kern w:val="0"/>
          <w:sz w:val="30"/>
          <w:szCs w:val="30"/>
        </w:rPr>
        <w:t xml:space="preserve">  202</w:t>
      </w:r>
      <w:r>
        <w:rPr>
          <w:rFonts w:hint="eastAsia" w:ascii="仿宋_GB2312" w:eastAsia="仿宋_GB2312" w:cs="Arial"/>
          <w:kern w:val="0"/>
          <w:sz w:val="30"/>
          <w:szCs w:val="30"/>
          <w:lang w:val="en-US" w:eastAsia="zh-CN"/>
        </w:rPr>
        <w:t>5</w:t>
      </w:r>
      <w:r>
        <w:rPr>
          <w:rFonts w:hint="eastAsia" w:ascii="仿宋_GB2312" w:hAnsi="Arial" w:eastAsia="仿宋_GB2312" w:cs="Arial"/>
          <w:kern w:val="0"/>
          <w:sz w:val="30"/>
          <w:szCs w:val="30"/>
        </w:rPr>
        <w:t>年××月××日</w:t>
      </w: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spacing w:line="720" w:lineRule="atLeast"/>
        <w:ind w:firstLine="450" w:firstLineChars="150"/>
        <w:outlineLvl w:val="2"/>
        <w:rPr>
          <w:rFonts w:ascii="仿宋_GB2312" w:hAnsi="Times New Roman" w:eastAsia="仿宋_GB2312" w:cs="Times New Roman"/>
          <w:kern w:val="0"/>
          <w:sz w:val="30"/>
          <w:szCs w:val="30"/>
        </w:rPr>
      </w:pPr>
      <w:r>
        <w:rPr>
          <w:rFonts w:hint="eastAsia" w:ascii="仿宋_GB2312" w:hAnsi="Times New Roman" w:eastAsia="仿宋_GB2312" w:cs="Times New Roman"/>
          <w:kern w:val="0"/>
          <w:sz w:val="30"/>
          <w:szCs w:val="30"/>
        </w:rPr>
        <w:t>5、承诺书</w:t>
      </w:r>
    </w:p>
    <w:p>
      <w:pPr>
        <w:widowControl/>
        <w:spacing w:line="720" w:lineRule="atLeast"/>
        <w:jc w:val="center"/>
        <w:rPr>
          <w:rFonts w:ascii="方正小标宋_GBK" w:hAnsi="方正小标宋_GBK" w:eastAsia="方正小标宋_GBK" w:cs="Times New Roman"/>
          <w:kern w:val="0"/>
          <w:sz w:val="32"/>
          <w:szCs w:val="32"/>
        </w:rPr>
      </w:pPr>
    </w:p>
    <w:p>
      <w:pPr>
        <w:widowControl/>
        <w:adjustRightInd w:val="0"/>
        <w:snapToGrid w:val="0"/>
        <w:spacing w:line="720" w:lineRule="atLeast"/>
        <w:jc w:val="center"/>
        <w:outlineLvl w:val="0"/>
        <w:rPr>
          <w:rFonts w:ascii="方正小标宋_GBK" w:hAnsi="方正小标宋_GBK" w:eastAsia="方正小标宋_GBK" w:cs="Arial"/>
          <w:kern w:val="0"/>
          <w:sz w:val="44"/>
          <w:szCs w:val="44"/>
        </w:rPr>
      </w:pPr>
      <w:r>
        <w:rPr>
          <w:rFonts w:hint="eastAsia" w:ascii="方正小标宋_GBK" w:hAnsi="方正小标宋_GBK" w:eastAsia="方正小标宋_GBK" w:cs="Arial"/>
          <w:kern w:val="0"/>
          <w:sz w:val="44"/>
          <w:szCs w:val="44"/>
        </w:rPr>
        <w:t>承诺书范本</w:t>
      </w:r>
    </w:p>
    <w:p>
      <w:pPr>
        <w:widowControl/>
        <w:adjustRightInd w:val="0"/>
        <w:snapToGrid w:val="0"/>
        <w:spacing w:line="520" w:lineRule="atLeast"/>
        <w:rPr>
          <w:rFonts w:ascii="方正小标宋_GBK" w:hAnsi="方正小标宋_GBK" w:eastAsia="方正小标宋_GBK" w:cs="Arial"/>
          <w:kern w:val="0"/>
          <w:sz w:val="30"/>
          <w:szCs w:val="30"/>
        </w:rPr>
      </w:pPr>
    </w:p>
    <w:p>
      <w:pPr>
        <w:widowControl/>
        <w:adjustRightInd w:val="0"/>
        <w:snapToGrid w:val="0"/>
        <w:spacing w:line="520" w:lineRule="atLeast"/>
        <w:ind w:firstLine="600"/>
        <w:outlineLvl w:val="0"/>
        <w:rPr>
          <w:rFonts w:ascii="黑体" w:hAnsi="黑体" w:eastAsia="黑体" w:cs="Arial"/>
          <w:kern w:val="0"/>
          <w:sz w:val="30"/>
          <w:szCs w:val="30"/>
        </w:rPr>
      </w:pPr>
      <w:r>
        <w:rPr>
          <w:rFonts w:hint="eastAsia" w:ascii="黑体" w:hAnsi="黑体" w:eastAsia="黑体" w:cs="Arial"/>
          <w:kern w:val="0"/>
          <w:sz w:val="30"/>
          <w:szCs w:val="30"/>
        </w:rPr>
        <w:t xml:space="preserve">一、申请人基本信息 </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名称（姓名）： 联系方式：</w:t>
      </w:r>
    </w:p>
    <w:p>
      <w:pPr>
        <w:widowControl/>
        <w:adjustRightInd w:val="0"/>
        <w:snapToGrid w:val="0"/>
        <w:spacing w:line="520" w:lineRule="atLeast"/>
        <w:ind w:firstLine="600"/>
        <w:rPr>
          <w:rFonts w:ascii="仿宋_GB2312" w:hAnsi="Arial" w:eastAsia="仿宋_GB2312" w:cs="Arial"/>
          <w:b/>
          <w:bCs/>
          <w:kern w:val="0"/>
          <w:sz w:val="30"/>
          <w:szCs w:val="30"/>
          <w:u w:val="single"/>
        </w:rPr>
      </w:pPr>
      <w:r>
        <w:rPr>
          <w:rFonts w:hint="eastAsia" w:ascii="仿宋_GB2312" w:hAnsi="Arial" w:eastAsia="仿宋_GB2312" w:cs="Arial"/>
          <w:kern w:val="0"/>
          <w:sz w:val="30"/>
          <w:szCs w:val="30"/>
        </w:rPr>
        <w:t>地址：</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证件类型及编号（或者统一社会信用代码）：</w:t>
      </w:r>
    </w:p>
    <w:p>
      <w:pPr>
        <w:widowControl/>
        <w:adjustRightInd w:val="0"/>
        <w:snapToGrid w:val="0"/>
        <w:spacing w:line="520" w:lineRule="atLeast"/>
        <w:ind w:firstLine="600"/>
        <w:outlineLvl w:val="0"/>
        <w:rPr>
          <w:rFonts w:ascii="黑体" w:hAnsi="黑体" w:eastAsia="黑体" w:cs="Arial"/>
          <w:kern w:val="0"/>
          <w:sz w:val="30"/>
          <w:szCs w:val="30"/>
        </w:rPr>
      </w:pPr>
      <w:r>
        <w:rPr>
          <w:rFonts w:hint="eastAsia" w:ascii="黑体" w:hAnsi="黑体" w:eastAsia="黑体" w:cs="Arial"/>
          <w:kern w:val="0"/>
          <w:sz w:val="30"/>
          <w:szCs w:val="30"/>
        </w:rPr>
        <w:t>二、申请人承诺</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 xml:space="preserve">（一）已经知晓 </w:t>
      </w:r>
      <w:r>
        <w:rPr>
          <w:rFonts w:hint="eastAsia" w:ascii="仿宋_GB2312" w:hAnsi="Arial" w:eastAsia="仿宋_GB2312" w:cs="Arial"/>
          <w:kern w:val="0"/>
          <w:sz w:val="30"/>
          <w:szCs w:val="30"/>
          <w:u w:val="single"/>
        </w:rPr>
        <w:t>中国人民银行</w:t>
      </w:r>
      <w:r>
        <w:rPr>
          <w:rFonts w:hint="eastAsia" w:ascii="仿宋_GB2312" w:eastAsia="仿宋_GB2312" w:cs="Arial"/>
          <w:kern w:val="0"/>
          <w:sz w:val="30"/>
          <w:szCs w:val="30"/>
          <w:u w:val="single"/>
          <w:lang w:eastAsia="zh-CN"/>
        </w:rPr>
        <w:t>巴彦淖尔市</w:t>
      </w:r>
      <w:r>
        <w:rPr>
          <w:rFonts w:hint="eastAsia" w:ascii="仿宋_GB2312" w:hAnsi="Arial" w:eastAsia="仿宋_GB2312" w:cs="Arial"/>
          <w:kern w:val="0"/>
          <w:sz w:val="30"/>
          <w:szCs w:val="30"/>
          <w:u w:val="single"/>
        </w:rPr>
        <w:t xml:space="preserve">分行 </w:t>
      </w:r>
      <w:r>
        <w:rPr>
          <w:rFonts w:hint="eastAsia" w:ascii="仿宋_GB2312" w:hAnsi="Arial" w:eastAsia="仿宋_GB2312" w:cs="Arial"/>
          <w:kern w:val="0"/>
          <w:sz w:val="30"/>
          <w:szCs w:val="30"/>
        </w:rPr>
        <w:t>告知的全部内容。</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（二）自身已符合行政机关告知的条件、要求，具体情况如下：</w:t>
      </w:r>
      <w:r>
        <w:rPr>
          <w:rFonts w:hint="eastAsia" w:ascii="仿宋_GB2312" w:hAnsi="Arial" w:eastAsia="仿宋_GB2312" w:cs="Arial"/>
          <w:kern w:val="0"/>
          <w:sz w:val="30"/>
          <w:szCs w:val="30"/>
          <w:u w:val="single"/>
        </w:rPr>
        <w:t>（申请人承诺的具体内容）</w:t>
      </w:r>
      <w:r>
        <w:rPr>
          <w:rFonts w:hint="eastAsia" w:ascii="仿宋_GB2312" w:hAnsi="Arial" w:eastAsia="仿宋_GB2312" w:cs="Arial"/>
          <w:kern w:val="0"/>
          <w:sz w:val="30"/>
          <w:szCs w:val="30"/>
        </w:rPr>
        <w:t>申请人作出的上述承诺属实，不存在虚假不实之处。</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（三）本告知承诺书上填写的基本信息真实、准确。</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（四）愿意承担不实承诺的法律责任。</w:t>
      </w:r>
    </w:p>
    <w:p>
      <w:pPr>
        <w:widowControl/>
        <w:adjustRightInd w:val="0"/>
        <w:snapToGrid w:val="0"/>
        <w:spacing w:line="520" w:lineRule="atLeast"/>
        <w:ind w:firstLine="600"/>
        <w:rPr>
          <w:rFonts w:ascii="仿宋_GB2312" w:hAnsi="Arial" w:eastAsia="仿宋_GB2312" w:cs="Arial"/>
          <w:kern w:val="0"/>
          <w:sz w:val="30"/>
          <w:szCs w:val="30"/>
        </w:rPr>
      </w:pPr>
      <w:r>
        <w:rPr>
          <w:rFonts w:hint="eastAsia" w:ascii="仿宋_GB2312" w:hAnsi="Arial" w:eastAsia="仿宋_GB2312" w:cs="Arial"/>
          <w:kern w:val="0"/>
          <w:sz w:val="30"/>
          <w:szCs w:val="30"/>
        </w:rPr>
        <w:t xml:space="preserve">（五）愿意配合 </w:t>
      </w:r>
      <w:r>
        <w:rPr>
          <w:rFonts w:hint="eastAsia" w:ascii="仿宋_GB2312" w:hAnsi="Arial" w:eastAsia="仿宋_GB2312" w:cs="Arial"/>
          <w:kern w:val="0"/>
          <w:sz w:val="30"/>
          <w:szCs w:val="30"/>
          <w:u w:val="single"/>
        </w:rPr>
        <w:t>中国人民银行</w:t>
      </w:r>
      <w:r>
        <w:rPr>
          <w:rFonts w:hint="eastAsia" w:ascii="仿宋_GB2312" w:eastAsia="仿宋_GB2312" w:cs="Arial"/>
          <w:kern w:val="0"/>
          <w:sz w:val="30"/>
          <w:szCs w:val="30"/>
          <w:u w:val="single"/>
          <w:lang w:eastAsia="zh-CN"/>
        </w:rPr>
        <w:t>巴彦淖尔市</w:t>
      </w:r>
      <w:r>
        <w:rPr>
          <w:rFonts w:hint="eastAsia" w:ascii="仿宋_GB2312" w:hAnsi="Arial" w:eastAsia="仿宋_GB2312" w:cs="Arial"/>
          <w:kern w:val="0"/>
          <w:sz w:val="30"/>
          <w:szCs w:val="30"/>
          <w:u w:val="single"/>
        </w:rPr>
        <w:t xml:space="preserve">分行 </w:t>
      </w:r>
      <w:r>
        <w:rPr>
          <w:rFonts w:hint="eastAsia" w:ascii="仿宋_GB2312" w:hAnsi="Arial" w:eastAsia="仿宋_GB2312" w:cs="Arial"/>
          <w:kern w:val="0"/>
          <w:sz w:val="30"/>
          <w:szCs w:val="30"/>
        </w:rPr>
        <w:t>对申请人承诺内容等相关信息的核查工作。</w:t>
      </w:r>
    </w:p>
    <w:p>
      <w:pPr>
        <w:widowControl/>
        <w:adjustRightInd w:val="0"/>
        <w:snapToGrid w:val="0"/>
        <w:spacing w:line="520" w:lineRule="atLeast"/>
        <w:ind w:firstLine="600"/>
        <w:rPr>
          <w:rFonts w:ascii="仿宋_GB2312" w:hAnsi="Arial" w:eastAsia="仿宋_GB2312" w:cs="Arial"/>
          <w:b/>
          <w:bCs/>
          <w:kern w:val="0"/>
          <w:sz w:val="30"/>
          <w:szCs w:val="30"/>
        </w:rPr>
      </w:pPr>
      <w:r>
        <w:rPr>
          <w:rFonts w:hint="eastAsia" w:ascii="仿宋_GB2312" w:hAnsi="Arial" w:eastAsia="仿宋_GB2312" w:cs="Arial"/>
          <w:kern w:val="0"/>
          <w:sz w:val="30"/>
          <w:szCs w:val="30"/>
        </w:rPr>
        <w:t>（六）上述承诺是申请人真实的意思表示。</w:t>
      </w:r>
    </w:p>
    <w:p>
      <w:pPr>
        <w:widowControl/>
        <w:adjustRightInd w:val="0"/>
        <w:snapToGrid w:val="0"/>
        <w:spacing w:line="520" w:lineRule="atLeast"/>
        <w:rPr>
          <w:rFonts w:ascii="仿宋_GB2312" w:hAnsi="Arial" w:eastAsia="仿宋_GB2312" w:cs="Arial"/>
          <w:b/>
          <w:bCs/>
          <w:kern w:val="0"/>
          <w:sz w:val="30"/>
          <w:szCs w:val="30"/>
        </w:rPr>
      </w:pPr>
    </w:p>
    <w:p>
      <w:pPr>
        <w:widowControl/>
        <w:adjustRightInd w:val="0"/>
        <w:snapToGrid w:val="0"/>
        <w:spacing w:line="520" w:lineRule="atLeast"/>
        <w:rPr>
          <w:rFonts w:ascii="仿宋_GB2312" w:hAnsi="Arial" w:eastAsia="仿宋_GB2312" w:cs="Arial"/>
          <w:b/>
          <w:bCs/>
          <w:kern w:val="0"/>
          <w:sz w:val="30"/>
          <w:szCs w:val="30"/>
        </w:rPr>
      </w:pPr>
    </w:p>
    <w:p>
      <w:pPr>
        <w:widowControl/>
        <w:adjustRightInd w:val="0"/>
        <w:snapToGrid w:val="0"/>
        <w:spacing w:line="520" w:lineRule="atLeast"/>
        <w:ind w:right="420" w:firstLine="600"/>
        <w:jc w:val="right"/>
        <w:rPr>
          <w:rFonts w:ascii="仿宋_GB2312" w:hAnsi="Arial" w:eastAsia="仿宋_GB2312" w:cs="Arial"/>
          <w:kern w:val="0"/>
          <w:sz w:val="30"/>
          <w:szCs w:val="30"/>
        </w:rPr>
      </w:pPr>
      <w:r>
        <w:rPr>
          <w:rFonts w:hint="eastAsia" w:ascii="仿宋_GB2312" w:hAnsi="Arial" w:eastAsia="仿宋_GB2312" w:cs="Arial"/>
          <w:kern w:val="0"/>
          <w:sz w:val="30"/>
          <w:szCs w:val="30"/>
        </w:rPr>
        <w:t>（申请人签名或者公章）</w:t>
      </w:r>
    </w:p>
    <w:p>
      <w:pPr>
        <w:widowControl/>
        <w:adjustRightInd w:val="0"/>
        <w:snapToGrid w:val="0"/>
        <w:ind w:right="450"/>
        <w:jc w:val="right"/>
        <w:rPr>
          <w:rFonts w:ascii="Arial" w:hAnsi="Arial" w:cs="Arial"/>
          <w:kern w:val="0"/>
          <w:szCs w:val="21"/>
        </w:rPr>
      </w:pPr>
      <w:r>
        <w:rPr>
          <w:rFonts w:hint="eastAsia" w:ascii="仿宋_GB2312" w:hAnsi="Arial" w:eastAsia="仿宋_GB2312" w:cs="Arial"/>
          <w:kern w:val="0"/>
          <w:sz w:val="30"/>
          <w:szCs w:val="30"/>
        </w:rPr>
        <w:t>202×年××月××日</w:t>
      </w: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widowControl/>
        <w:adjustRightInd w:val="0"/>
        <w:snapToGrid w:val="0"/>
        <w:spacing w:line="560" w:lineRule="exact"/>
        <w:ind w:firstLine="450" w:firstLineChars="150"/>
        <w:rPr>
          <w:rFonts w:ascii="仿宋_GB2312" w:hAnsi="方正小标宋_GBK" w:eastAsia="仿宋_GB2312" w:cs="Times New Roman"/>
          <w:kern w:val="0"/>
          <w:sz w:val="30"/>
          <w:szCs w:val="30"/>
        </w:rPr>
      </w:pPr>
    </w:p>
    <w:p>
      <w:pPr>
        <w:pStyle w:val="9"/>
        <w:spacing w:line="560" w:lineRule="exact"/>
        <w:ind w:firstLine="600" w:firstLineChars="200"/>
        <w:outlineLvl w:val="1"/>
        <w:rPr>
          <w:rFonts w:ascii="仿宋_GB2312" w:eastAsia="仿宋_GB2312"/>
          <w:color w:val="auto"/>
          <w:sz w:val="30"/>
          <w:szCs w:val="30"/>
        </w:rPr>
      </w:pPr>
      <w:r>
        <w:rPr>
          <w:rFonts w:hint="eastAsia" w:ascii="仿宋_GB2312" w:eastAsia="仿宋_GB2312"/>
          <w:color w:val="auto"/>
          <w:sz w:val="30"/>
          <w:szCs w:val="30"/>
        </w:rPr>
        <w:t>6、申请前两个年度境内资产负债表、利润表等财务报表</w:t>
      </w:r>
    </w:p>
    <w:p>
      <w:pPr>
        <w:widowControl/>
        <w:adjustRightInd w:val="0"/>
        <w:snapToGrid w:val="0"/>
        <w:spacing w:before="140"/>
        <w:jc w:val="center"/>
        <w:outlineLvl w:val="2"/>
        <w:rPr>
          <w:rFonts w:ascii="黑体" w:hAnsi="黑体" w:eastAsia="黑体" w:cs="Arial"/>
          <w:kern w:val="0"/>
          <w:sz w:val="43"/>
          <w:szCs w:val="43"/>
        </w:rPr>
      </w:pPr>
      <w:r>
        <w:rPr>
          <w:rFonts w:hint="eastAsia" w:ascii="黑体" w:hAnsi="黑体" w:eastAsia="黑体" w:cs="Arial"/>
          <w:spacing w:val="4"/>
          <w:kern w:val="0"/>
          <w:sz w:val="43"/>
          <w:szCs w:val="43"/>
        </w:rPr>
        <w:t>资产负债表</w:t>
      </w:r>
    </w:p>
    <w:p>
      <w:pPr>
        <w:widowControl/>
        <w:adjustRightInd w:val="0"/>
        <w:snapToGrid w:val="0"/>
        <w:spacing w:before="3" w:line="273" w:lineRule="atLeast"/>
        <w:ind w:firstLine="2802"/>
        <w:jc w:val="left"/>
        <w:rPr>
          <w:rFonts w:ascii="宋体" w:hAnsi="宋体" w:cs="Arial"/>
          <w:spacing w:val="-15"/>
          <w:kern w:val="0"/>
          <w:position w:val="4"/>
          <w:sz w:val="20"/>
          <w:szCs w:val="20"/>
        </w:rPr>
      </w:pPr>
    </w:p>
    <w:p>
      <w:pPr>
        <w:widowControl/>
        <w:adjustRightInd w:val="0"/>
        <w:snapToGrid w:val="0"/>
        <w:spacing w:before="3" w:line="273" w:lineRule="atLeast"/>
        <w:jc w:val="center"/>
        <w:rPr>
          <w:rFonts w:ascii="宋体" w:hAnsi="宋体" w:cs="Arial"/>
          <w:kern w:val="0"/>
          <w:sz w:val="20"/>
          <w:szCs w:val="20"/>
        </w:rPr>
      </w:pPr>
      <w:r>
        <w:rPr>
          <w:rFonts w:hint="eastAsia" w:ascii="宋体" w:hAnsi="宋体" w:cs="Arial"/>
          <w:spacing w:val="-15"/>
          <w:kern w:val="0"/>
          <w:position w:val="4"/>
          <w:sz w:val="20"/>
          <w:szCs w:val="20"/>
        </w:rPr>
        <w:t>报告日期：  年   月   日</w:t>
      </w:r>
    </w:p>
    <w:p>
      <w:pPr>
        <w:widowControl/>
        <w:adjustRightInd w:val="0"/>
        <w:snapToGrid w:val="0"/>
        <w:ind w:firstLine="122"/>
        <w:jc w:val="left"/>
        <w:rPr>
          <w:rFonts w:ascii="宋体" w:hAnsi="宋体" w:cs="Arial"/>
          <w:kern w:val="0"/>
          <w:sz w:val="20"/>
          <w:szCs w:val="20"/>
        </w:rPr>
      </w:pPr>
      <w:r>
        <w:rPr>
          <w:rFonts w:hint="eastAsia" w:ascii="宋体" w:hAnsi="宋体" w:cs="Arial"/>
          <w:spacing w:val="-19"/>
          <w:kern w:val="0"/>
          <w:sz w:val="20"/>
          <w:szCs w:val="20"/>
        </w:rPr>
        <w:t>编报单位：</w:t>
      </w:r>
    </w:p>
    <w:p>
      <w:pPr>
        <w:widowControl/>
        <w:adjustRightInd w:val="0"/>
        <w:snapToGrid w:val="0"/>
        <w:spacing w:before="26"/>
        <w:ind w:firstLine="121"/>
        <w:jc w:val="left"/>
        <w:rPr>
          <w:rFonts w:ascii="宋体" w:hAnsi="宋体" w:cs="Arial"/>
          <w:kern w:val="0"/>
          <w:sz w:val="20"/>
          <w:szCs w:val="20"/>
        </w:rPr>
      </w:pPr>
      <w:r>
        <w:rPr>
          <w:rFonts w:hint="eastAsia" w:ascii="宋体" w:hAnsi="宋体" w:cs="Arial"/>
          <w:spacing w:val="-4"/>
          <w:kern w:val="0"/>
          <w:sz w:val="20"/>
          <w:szCs w:val="20"/>
        </w:rPr>
        <w:t>各货币汇总折人民币单位：万元</w:t>
      </w:r>
    </w:p>
    <w:tbl>
      <w:tblPr>
        <w:tblStyle w:val="7"/>
        <w:tblW w:w="9064"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06"/>
        <w:gridCol w:w="705"/>
        <w:gridCol w:w="719"/>
        <w:gridCol w:w="3013"/>
        <w:gridCol w:w="751"/>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0"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line="436" w:lineRule="auto"/>
              <w:jc w:val="left"/>
              <w:rPr>
                <w:rFonts w:cs="Arial"/>
                <w:kern w:val="0"/>
                <w:szCs w:val="21"/>
              </w:rPr>
            </w:pPr>
          </w:p>
          <w:p>
            <w:pPr>
              <w:widowControl/>
              <w:adjustRightInd w:val="0"/>
              <w:snapToGrid w:val="0"/>
              <w:spacing w:before="59"/>
              <w:ind w:firstLine="121"/>
              <w:jc w:val="left"/>
              <w:rPr>
                <w:rFonts w:ascii="宋体" w:hAnsi="宋体" w:cs="Arial"/>
                <w:kern w:val="0"/>
                <w:sz w:val="18"/>
                <w:szCs w:val="18"/>
              </w:rPr>
            </w:pPr>
            <w:r>
              <w:rPr>
                <w:rFonts w:hint="eastAsia" w:ascii="宋体" w:hAnsi="宋体" w:cs="Arial"/>
                <w:spacing w:val="-4"/>
                <w:kern w:val="0"/>
                <w:sz w:val="18"/>
                <w:szCs w:val="18"/>
              </w:rPr>
              <w:t>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spacing w:before="251" w:line="499" w:lineRule="atLeast"/>
              <w:ind w:firstLine="117"/>
              <w:jc w:val="left"/>
              <w:rPr>
                <w:rFonts w:ascii="宋体" w:hAnsi="宋体" w:cs="Arial"/>
                <w:kern w:val="0"/>
                <w:sz w:val="18"/>
                <w:szCs w:val="18"/>
              </w:rPr>
            </w:pPr>
            <w:r>
              <w:rPr>
                <w:rFonts w:hint="eastAsia" w:ascii="宋体" w:hAnsi="宋体" w:cs="Arial"/>
                <w:spacing w:val="-5"/>
                <w:kern w:val="0"/>
                <w:position w:val="25"/>
                <w:sz w:val="18"/>
                <w:szCs w:val="18"/>
              </w:rPr>
              <w:t>期末</w:t>
            </w:r>
          </w:p>
          <w:p>
            <w:pPr>
              <w:widowControl/>
              <w:adjustRightInd w:val="0"/>
              <w:snapToGrid w:val="0"/>
              <w:ind w:firstLine="115"/>
              <w:jc w:val="left"/>
              <w:rPr>
                <w:rFonts w:ascii="宋体" w:hAnsi="宋体" w:cs="Arial"/>
                <w:kern w:val="0"/>
                <w:sz w:val="18"/>
                <w:szCs w:val="18"/>
              </w:rPr>
            </w:pPr>
            <w:r>
              <w:rPr>
                <w:rFonts w:hint="eastAsia" w:ascii="宋体" w:hAnsi="宋体" w:cs="Arial"/>
                <w:spacing w:val="-3"/>
                <w:kern w:val="0"/>
                <w:sz w:val="18"/>
                <w:szCs w:val="18"/>
              </w:rPr>
              <w:t>余额</w:t>
            </w: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spacing w:before="251" w:line="499" w:lineRule="atLeast"/>
              <w:ind w:firstLine="115"/>
              <w:jc w:val="left"/>
              <w:rPr>
                <w:rFonts w:ascii="宋体" w:hAnsi="宋体" w:cs="Arial"/>
                <w:kern w:val="0"/>
                <w:sz w:val="18"/>
                <w:szCs w:val="18"/>
              </w:rPr>
            </w:pPr>
            <w:r>
              <w:rPr>
                <w:rFonts w:hint="eastAsia" w:ascii="宋体" w:hAnsi="宋体" w:cs="Arial"/>
                <w:spacing w:val="-4"/>
                <w:kern w:val="0"/>
                <w:position w:val="24"/>
                <w:sz w:val="18"/>
                <w:szCs w:val="18"/>
              </w:rPr>
              <w:t>年初</w:t>
            </w:r>
          </w:p>
          <w:p>
            <w:pPr>
              <w:widowControl/>
              <w:adjustRightInd w:val="0"/>
              <w:snapToGrid w:val="0"/>
              <w:ind w:firstLine="116"/>
              <w:jc w:val="left"/>
              <w:rPr>
                <w:rFonts w:ascii="宋体" w:hAnsi="宋体" w:cs="Arial"/>
                <w:kern w:val="0"/>
                <w:sz w:val="18"/>
                <w:szCs w:val="18"/>
              </w:rPr>
            </w:pPr>
            <w:r>
              <w:rPr>
                <w:rFonts w:hint="eastAsia" w:ascii="宋体" w:hAnsi="宋体" w:cs="Arial"/>
                <w:spacing w:val="-3"/>
                <w:kern w:val="0"/>
                <w:sz w:val="18"/>
                <w:szCs w:val="18"/>
              </w:rPr>
              <w:t>余额</w:t>
            </w: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line="436" w:lineRule="auto"/>
              <w:jc w:val="left"/>
              <w:rPr>
                <w:rFonts w:cs="Arial"/>
                <w:kern w:val="0"/>
                <w:szCs w:val="21"/>
              </w:rPr>
            </w:pPr>
          </w:p>
          <w:p>
            <w:pPr>
              <w:widowControl/>
              <w:adjustRightInd w:val="0"/>
              <w:snapToGrid w:val="0"/>
              <w:spacing w:before="59"/>
              <w:ind w:firstLine="123"/>
              <w:jc w:val="left"/>
              <w:rPr>
                <w:rFonts w:ascii="宋体" w:hAnsi="宋体" w:cs="Arial"/>
                <w:kern w:val="0"/>
                <w:sz w:val="18"/>
                <w:szCs w:val="18"/>
              </w:rPr>
            </w:pPr>
            <w:r>
              <w:rPr>
                <w:rFonts w:hint="eastAsia" w:ascii="宋体" w:hAnsi="宋体" w:cs="Arial"/>
                <w:spacing w:val="-2"/>
                <w:kern w:val="0"/>
                <w:sz w:val="18"/>
                <w:szCs w:val="18"/>
              </w:rPr>
              <w:t>负债和所有者权益（或股东权益）</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spacing w:before="251" w:line="499" w:lineRule="atLeast"/>
              <w:ind w:firstLine="120"/>
              <w:jc w:val="left"/>
              <w:rPr>
                <w:rFonts w:ascii="宋体" w:hAnsi="宋体" w:cs="Arial"/>
                <w:kern w:val="0"/>
                <w:sz w:val="18"/>
                <w:szCs w:val="18"/>
              </w:rPr>
            </w:pPr>
            <w:r>
              <w:rPr>
                <w:rFonts w:hint="eastAsia" w:ascii="宋体" w:hAnsi="宋体" w:cs="Arial"/>
                <w:spacing w:val="-5"/>
                <w:kern w:val="0"/>
                <w:position w:val="25"/>
                <w:sz w:val="18"/>
                <w:szCs w:val="18"/>
              </w:rPr>
              <w:t>期末</w:t>
            </w:r>
          </w:p>
          <w:p>
            <w:pPr>
              <w:widowControl/>
              <w:adjustRightInd w:val="0"/>
              <w:snapToGrid w:val="0"/>
              <w:ind w:firstLine="118"/>
              <w:jc w:val="left"/>
              <w:rPr>
                <w:rFonts w:ascii="宋体" w:hAnsi="宋体" w:cs="Arial"/>
                <w:kern w:val="0"/>
                <w:sz w:val="18"/>
                <w:szCs w:val="18"/>
              </w:rPr>
            </w:pPr>
            <w:r>
              <w:rPr>
                <w:rFonts w:hint="eastAsia" w:ascii="宋体" w:hAnsi="宋体" w:cs="Arial"/>
                <w:spacing w:val="-3"/>
                <w:kern w:val="0"/>
                <w:sz w:val="18"/>
                <w:szCs w:val="18"/>
              </w:rPr>
              <w:t>余额</w:t>
            </w: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spacing w:before="251" w:line="499" w:lineRule="atLeast"/>
              <w:ind w:firstLine="115"/>
              <w:jc w:val="left"/>
              <w:rPr>
                <w:rFonts w:ascii="宋体" w:hAnsi="宋体" w:cs="Arial"/>
                <w:kern w:val="0"/>
                <w:sz w:val="18"/>
                <w:szCs w:val="18"/>
              </w:rPr>
            </w:pPr>
            <w:r>
              <w:rPr>
                <w:rFonts w:hint="eastAsia" w:ascii="宋体" w:hAnsi="宋体" w:cs="Arial"/>
                <w:kern w:val="0"/>
                <w:position w:val="24"/>
                <w:sz w:val="18"/>
                <w:szCs w:val="18"/>
              </w:rPr>
              <w:t>年初余</w:t>
            </w:r>
          </w:p>
          <w:p>
            <w:pPr>
              <w:widowControl/>
              <w:adjustRightInd w:val="0"/>
              <w:snapToGrid w:val="0"/>
              <w:ind w:firstLine="114"/>
              <w:jc w:val="left"/>
              <w:rPr>
                <w:rFonts w:ascii="宋体" w:hAnsi="宋体" w:cs="Arial"/>
                <w:kern w:val="0"/>
                <w:sz w:val="18"/>
                <w:szCs w:val="18"/>
              </w:rPr>
            </w:pPr>
            <w:r>
              <w:rPr>
                <w:rFonts w:hint="eastAsia" w:ascii="宋体" w:hAnsi="宋体" w:cs="Arial"/>
                <w:kern w:val="0"/>
                <w:sz w:val="18"/>
                <w:szCs w:val="18"/>
              </w:rPr>
              <w:t>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69"/>
              <w:ind w:firstLine="121"/>
              <w:jc w:val="left"/>
              <w:rPr>
                <w:rFonts w:ascii="宋体" w:hAnsi="宋体" w:cs="Arial"/>
                <w:kern w:val="0"/>
                <w:sz w:val="18"/>
                <w:szCs w:val="18"/>
              </w:rPr>
            </w:pPr>
            <w:r>
              <w:rPr>
                <w:rFonts w:hint="eastAsia" w:ascii="宋体" w:hAnsi="宋体" w:cs="Arial"/>
                <w:spacing w:val="-13"/>
                <w:kern w:val="0"/>
                <w:sz w:val="18"/>
                <w:szCs w:val="18"/>
              </w:rPr>
              <w:t>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97"/>
              <w:ind w:firstLine="123"/>
              <w:jc w:val="left"/>
              <w:rPr>
                <w:rFonts w:ascii="宋体" w:hAnsi="宋体" w:cs="Arial"/>
                <w:kern w:val="0"/>
                <w:sz w:val="18"/>
                <w:szCs w:val="18"/>
              </w:rPr>
            </w:pPr>
            <w:r>
              <w:rPr>
                <w:rFonts w:hint="eastAsia" w:ascii="宋体" w:hAnsi="宋体" w:cs="Arial"/>
                <w:spacing w:val="-13"/>
                <w:kern w:val="0"/>
                <w:sz w:val="18"/>
                <w:szCs w:val="18"/>
              </w:rPr>
              <w:t>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69"/>
              <w:ind w:firstLine="294"/>
              <w:jc w:val="left"/>
              <w:rPr>
                <w:rFonts w:ascii="宋体" w:hAnsi="宋体" w:cs="Arial"/>
                <w:kern w:val="0"/>
                <w:sz w:val="18"/>
                <w:szCs w:val="18"/>
              </w:rPr>
            </w:pPr>
            <w:r>
              <w:rPr>
                <w:rFonts w:hint="eastAsia" w:ascii="宋体" w:hAnsi="宋体" w:cs="Arial"/>
                <w:spacing w:val="-1"/>
                <w:kern w:val="0"/>
                <w:sz w:val="18"/>
                <w:szCs w:val="18"/>
              </w:rPr>
              <w:t>现金及存放中央银行款项</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0"/>
              <w:ind w:firstLine="317"/>
              <w:jc w:val="left"/>
              <w:rPr>
                <w:rFonts w:ascii="宋体" w:hAnsi="宋体" w:cs="Arial"/>
                <w:kern w:val="0"/>
                <w:sz w:val="18"/>
                <w:szCs w:val="18"/>
              </w:rPr>
            </w:pPr>
            <w:r>
              <w:rPr>
                <w:rFonts w:hint="eastAsia" w:ascii="宋体" w:hAnsi="宋体" w:cs="Arial"/>
                <w:spacing w:val="-4"/>
                <w:kern w:val="0"/>
                <w:sz w:val="18"/>
                <w:szCs w:val="18"/>
              </w:rPr>
              <w:t>向中央银行借款</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69"/>
              <w:ind w:firstLine="294"/>
              <w:jc w:val="left"/>
              <w:rPr>
                <w:rFonts w:ascii="宋体" w:hAnsi="宋体" w:cs="Arial"/>
                <w:kern w:val="0"/>
                <w:sz w:val="18"/>
                <w:szCs w:val="18"/>
              </w:rPr>
            </w:pPr>
            <w:r>
              <w:rPr>
                <w:rFonts w:hint="eastAsia" w:ascii="宋体" w:hAnsi="宋体" w:cs="Arial"/>
                <w:spacing w:val="-1"/>
                <w:kern w:val="0"/>
                <w:sz w:val="18"/>
                <w:szCs w:val="18"/>
              </w:rPr>
              <w:t>存放同业款项</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0"/>
              <w:ind w:firstLine="313"/>
              <w:jc w:val="left"/>
              <w:rPr>
                <w:rFonts w:ascii="宋体" w:hAnsi="宋体" w:cs="Arial"/>
                <w:kern w:val="0"/>
                <w:sz w:val="18"/>
                <w:szCs w:val="18"/>
              </w:rPr>
            </w:pPr>
            <w:r>
              <w:rPr>
                <w:rFonts w:hint="eastAsia" w:ascii="宋体" w:hAnsi="宋体" w:cs="Arial"/>
                <w:spacing w:val="-2"/>
                <w:kern w:val="0"/>
                <w:sz w:val="18"/>
                <w:szCs w:val="18"/>
              </w:rPr>
              <w:t>同业及其他金融机构存放款项</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69"/>
              <w:ind w:firstLine="296"/>
              <w:jc w:val="left"/>
              <w:rPr>
                <w:rFonts w:ascii="宋体" w:hAnsi="宋体" w:cs="Arial"/>
                <w:kern w:val="0"/>
                <w:sz w:val="18"/>
                <w:szCs w:val="18"/>
              </w:rPr>
            </w:pPr>
            <w:r>
              <w:rPr>
                <w:rFonts w:hint="eastAsia" w:ascii="宋体" w:hAnsi="宋体" w:cs="Arial"/>
                <w:spacing w:val="-3"/>
                <w:kern w:val="0"/>
                <w:sz w:val="18"/>
                <w:szCs w:val="18"/>
              </w:rPr>
              <w:t>贵金属</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0"/>
              <w:ind w:firstLine="295"/>
              <w:jc w:val="left"/>
              <w:rPr>
                <w:rFonts w:ascii="宋体" w:hAnsi="宋体" w:cs="Arial"/>
                <w:kern w:val="0"/>
                <w:sz w:val="18"/>
                <w:szCs w:val="18"/>
              </w:rPr>
            </w:pPr>
            <w:r>
              <w:rPr>
                <w:rFonts w:hint="eastAsia" w:ascii="宋体" w:hAnsi="宋体" w:cs="Arial"/>
                <w:spacing w:val="-2"/>
                <w:kern w:val="0"/>
                <w:sz w:val="18"/>
                <w:szCs w:val="18"/>
              </w:rPr>
              <w:t>拆入资金</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0"/>
              <w:ind w:firstLine="294"/>
              <w:jc w:val="left"/>
              <w:rPr>
                <w:rFonts w:ascii="宋体" w:hAnsi="宋体" w:cs="Arial"/>
                <w:kern w:val="0"/>
                <w:sz w:val="18"/>
                <w:szCs w:val="18"/>
              </w:rPr>
            </w:pPr>
            <w:r>
              <w:rPr>
                <w:rFonts w:hint="eastAsia" w:ascii="宋体" w:hAnsi="宋体" w:cs="Arial"/>
                <w:spacing w:val="-2"/>
                <w:kern w:val="0"/>
                <w:sz w:val="18"/>
                <w:szCs w:val="18"/>
              </w:rPr>
              <w:t>拆出资金</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99"/>
              <w:ind w:firstLine="298"/>
              <w:jc w:val="left"/>
              <w:rPr>
                <w:rFonts w:ascii="宋体" w:hAnsi="宋体" w:cs="Arial"/>
                <w:kern w:val="0"/>
                <w:sz w:val="18"/>
                <w:szCs w:val="18"/>
              </w:rPr>
            </w:pPr>
            <w:r>
              <w:rPr>
                <w:rFonts w:hint="eastAsia" w:ascii="宋体" w:hAnsi="宋体" w:cs="Arial"/>
                <w:spacing w:val="-2"/>
                <w:kern w:val="0"/>
                <w:sz w:val="18"/>
                <w:szCs w:val="18"/>
              </w:rPr>
              <w:t>交易性金融负债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0"/>
              <w:ind w:firstLine="296"/>
              <w:jc w:val="left"/>
              <w:rPr>
                <w:rFonts w:ascii="宋体" w:hAnsi="宋体" w:cs="Arial"/>
                <w:kern w:val="0"/>
                <w:sz w:val="18"/>
                <w:szCs w:val="18"/>
              </w:rPr>
            </w:pPr>
            <w:r>
              <w:rPr>
                <w:rFonts w:hint="eastAsia" w:ascii="宋体" w:hAnsi="宋体" w:cs="Arial"/>
                <w:spacing w:val="-2"/>
                <w:kern w:val="0"/>
                <w:sz w:val="18"/>
                <w:szCs w:val="18"/>
              </w:rPr>
              <w:t>交易性金融资产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99"/>
              <w:ind w:firstLine="295"/>
              <w:jc w:val="left"/>
              <w:rPr>
                <w:rFonts w:ascii="宋体" w:hAnsi="宋体" w:cs="Arial"/>
                <w:kern w:val="0"/>
                <w:sz w:val="18"/>
                <w:szCs w:val="18"/>
              </w:rPr>
            </w:pPr>
            <w:r>
              <w:rPr>
                <w:rFonts w:hint="eastAsia" w:ascii="宋体" w:hAnsi="宋体" w:cs="Arial"/>
                <w:spacing w:val="-1"/>
                <w:kern w:val="0"/>
                <w:sz w:val="18"/>
                <w:szCs w:val="18"/>
              </w:rPr>
              <w:t>衍生金融负债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1"/>
              <w:ind w:firstLine="294"/>
              <w:jc w:val="left"/>
              <w:rPr>
                <w:rFonts w:ascii="宋体" w:hAnsi="宋体" w:cs="Arial"/>
                <w:kern w:val="0"/>
                <w:sz w:val="18"/>
                <w:szCs w:val="18"/>
              </w:rPr>
            </w:pPr>
            <w:r>
              <w:rPr>
                <w:rFonts w:hint="eastAsia" w:ascii="宋体" w:hAnsi="宋体" w:cs="Arial"/>
                <w:spacing w:val="-1"/>
                <w:kern w:val="0"/>
                <w:sz w:val="18"/>
                <w:szCs w:val="18"/>
              </w:rPr>
              <w:t>衍生金融资产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99"/>
              <w:ind w:firstLine="293"/>
              <w:jc w:val="left"/>
              <w:rPr>
                <w:rFonts w:ascii="宋体" w:hAnsi="宋体" w:cs="Arial"/>
                <w:kern w:val="0"/>
                <w:sz w:val="18"/>
                <w:szCs w:val="18"/>
              </w:rPr>
            </w:pPr>
            <w:r>
              <w:rPr>
                <w:rFonts w:hint="eastAsia" w:ascii="宋体" w:hAnsi="宋体" w:cs="Arial"/>
                <w:spacing w:val="-1"/>
                <w:kern w:val="0"/>
                <w:sz w:val="18"/>
                <w:szCs w:val="18"/>
              </w:rPr>
              <w:t>卖出回购金融资产款</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1"/>
              <w:ind w:firstLine="299"/>
              <w:jc w:val="left"/>
              <w:rPr>
                <w:rFonts w:ascii="宋体" w:hAnsi="宋体" w:cs="Arial"/>
                <w:kern w:val="0"/>
                <w:sz w:val="18"/>
                <w:szCs w:val="18"/>
              </w:rPr>
            </w:pPr>
            <w:r>
              <w:rPr>
                <w:rFonts w:hint="eastAsia" w:ascii="宋体" w:hAnsi="宋体" w:cs="Arial"/>
                <w:spacing w:val="-2"/>
                <w:kern w:val="0"/>
                <w:sz w:val="18"/>
                <w:szCs w:val="18"/>
              </w:rPr>
              <w:t>买入返售金融资产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2"/>
              <w:ind w:firstLine="303"/>
              <w:jc w:val="left"/>
              <w:rPr>
                <w:rFonts w:ascii="宋体" w:hAnsi="宋体" w:cs="Arial"/>
                <w:kern w:val="0"/>
                <w:sz w:val="18"/>
                <w:szCs w:val="18"/>
              </w:rPr>
            </w:pPr>
            <w:r>
              <w:rPr>
                <w:rFonts w:hint="eastAsia" w:ascii="宋体" w:hAnsi="宋体" w:cs="Arial"/>
                <w:spacing w:val="-3"/>
                <w:kern w:val="0"/>
                <w:sz w:val="18"/>
                <w:szCs w:val="18"/>
              </w:rPr>
              <w:t>吸收存款</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1"/>
              <w:ind w:firstLine="294"/>
              <w:jc w:val="left"/>
              <w:rPr>
                <w:rFonts w:ascii="宋体" w:hAnsi="宋体" w:cs="Arial"/>
                <w:kern w:val="0"/>
                <w:sz w:val="18"/>
                <w:szCs w:val="18"/>
              </w:rPr>
            </w:pPr>
            <w:r>
              <w:rPr>
                <w:rFonts w:hint="eastAsia" w:ascii="宋体" w:hAnsi="宋体" w:cs="Arial"/>
                <w:spacing w:val="-2"/>
                <w:kern w:val="0"/>
                <w:sz w:val="18"/>
                <w:szCs w:val="18"/>
              </w:rPr>
              <w:t>应收利息</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2"/>
              <w:ind w:firstLine="296"/>
              <w:jc w:val="left"/>
              <w:rPr>
                <w:rFonts w:ascii="宋体" w:hAnsi="宋体" w:cs="Arial"/>
                <w:kern w:val="0"/>
                <w:sz w:val="18"/>
                <w:szCs w:val="18"/>
              </w:rPr>
            </w:pPr>
            <w:r>
              <w:rPr>
                <w:rFonts w:hint="eastAsia" w:ascii="宋体" w:hAnsi="宋体" w:cs="Arial"/>
                <w:spacing w:val="-1"/>
                <w:kern w:val="0"/>
                <w:sz w:val="18"/>
                <w:szCs w:val="18"/>
              </w:rPr>
              <w:t>应付职工薪酬</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1"/>
              <w:ind w:firstLine="297"/>
              <w:jc w:val="left"/>
              <w:rPr>
                <w:rFonts w:ascii="宋体" w:hAnsi="宋体" w:cs="Arial"/>
                <w:kern w:val="0"/>
                <w:sz w:val="18"/>
                <w:szCs w:val="18"/>
              </w:rPr>
            </w:pPr>
            <w:r>
              <w:rPr>
                <w:rFonts w:hint="eastAsia" w:ascii="宋体" w:hAnsi="宋体" w:cs="Arial"/>
                <w:spacing w:val="-2"/>
                <w:kern w:val="0"/>
                <w:sz w:val="18"/>
                <w:szCs w:val="18"/>
              </w:rPr>
              <w:t>发放贷款和垫款</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2"/>
              <w:ind w:firstLine="296"/>
              <w:jc w:val="left"/>
              <w:rPr>
                <w:rFonts w:ascii="宋体" w:hAnsi="宋体" w:cs="Arial"/>
                <w:kern w:val="0"/>
                <w:sz w:val="18"/>
                <w:szCs w:val="18"/>
              </w:rPr>
            </w:pPr>
            <w:r>
              <w:rPr>
                <w:rFonts w:hint="eastAsia" w:ascii="宋体" w:hAnsi="宋体" w:cs="Arial"/>
                <w:spacing w:val="-2"/>
                <w:kern w:val="0"/>
                <w:sz w:val="18"/>
                <w:szCs w:val="18"/>
              </w:rPr>
              <w:t>应交税费</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2"/>
              <w:ind w:firstLine="296"/>
              <w:jc w:val="left"/>
              <w:rPr>
                <w:rFonts w:ascii="宋体" w:hAnsi="宋体" w:cs="Arial"/>
                <w:kern w:val="0"/>
                <w:sz w:val="18"/>
                <w:szCs w:val="18"/>
              </w:rPr>
            </w:pPr>
            <w:r>
              <w:rPr>
                <w:rFonts w:hint="eastAsia" w:ascii="宋体" w:hAnsi="宋体" w:cs="Arial"/>
                <w:spacing w:val="-1"/>
                <w:kern w:val="0"/>
                <w:sz w:val="18"/>
                <w:szCs w:val="18"/>
              </w:rPr>
              <w:t>可供出售金融资产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1"/>
              <w:ind w:firstLine="296"/>
              <w:jc w:val="left"/>
              <w:rPr>
                <w:rFonts w:ascii="宋体" w:hAnsi="宋体" w:cs="Arial"/>
                <w:kern w:val="0"/>
                <w:sz w:val="18"/>
                <w:szCs w:val="18"/>
              </w:rPr>
            </w:pPr>
            <w:r>
              <w:rPr>
                <w:rFonts w:hint="eastAsia" w:ascii="宋体" w:hAnsi="宋体" w:cs="Arial"/>
                <w:spacing w:val="-2"/>
                <w:kern w:val="0"/>
                <w:sz w:val="18"/>
                <w:szCs w:val="18"/>
              </w:rPr>
              <w:t>应付利息</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2"/>
              <w:ind w:firstLine="296"/>
              <w:jc w:val="left"/>
              <w:rPr>
                <w:rFonts w:ascii="宋体" w:hAnsi="宋体" w:cs="Arial"/>
                <w:kern w:val="0"/>
                <w:sz w:val="18"/>
                <w:szCs w:val="18"/>
              </w:rPr>
            </w:pPr>
            <w:r>
              <w:rPr>
                <w:rFonts w:hint="eastAsia" w:ascii="宋体" w:hAnsi="宋体" w:cs="Arial"/>
                <w:spacing w:val="-2"/>
                <w:kern w:val="0"/>
                <w:sz w:val="18"/>
                <w:szCs w:val="18"/>
              </w:rPr>
              <w:t>持有至到期投资</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1"/>
              <w:ind w:firstLine="296"/>
              <w:jc w:val="left"/>
              <w:rPr>
                <w:rFonts w:ascii="宋体" w:hAnsi="宋体" w:cs="Arial"/>
                <w:kern w:val="0"/>
                <w:sz w:val="18"/>
                <w:szCs w:val="18"/>
              </w:rPr>
            </w:pPr>
            <w:r>
              <w:rPr>
                <w:rFonts w:hint="eastAsia" w:ascii="宋体" w:hAnsi="宋体" w:cs="Arial"/>
                <w:spacing w:val="-2"/>
                <w:kern w:val="0"/>
                <w:sz w:val="18"/>
                <w:szCs w:val="18"/>
              </w:rPr>
              <w:t>预计负债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3"/>
              <w:ind w:firstLine="295"/>
              <w:jc w:val="left"/>
              <w:rPr>
                <w:rFonts w:ascii="宋体" w:hAnsi="宋体" w:cs="Arial"/>
                <w:kern w:val="0"/>
                <w:sz w:val="18"/>
                <w:szCs w:val="18"/>
              </w:rPr>
            </w:pPr>
            <w:r>
              <w:rPr>
                <w:rFonts w:hint="eastAsia" w:ascii="宋体" w:hAnsi="宋体" w:cs="Arial"/>
                <w:spacing w:val="-1"/>
                <w:kern w:val="0"/>
                <w:sz w:val="18"/>
                <w:szCs w:val="18"/>
              </w:rPr>
              <w:t>货款及应收款项类债券</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1"/>
              <w:ind w:firstLine="296"/>
              <w:jc w:val="left"/>
              <w:rPr>
                <w:rFonts w:ascii="宋体" w:hAnsi="宋体" w:cs="Arial"/>
                <w:kern w:val="0"/>
                <w:sz w:val="18"/>
                <w:szCs w:val="18"/>
              </w:rPr>
            </w:pPr>
            <w:r>
              <w:rPr>
                <w:rFonts w:hint="eastAsia" w:ascii="宋体" w:hAnsi="宋体" w:cs="Arial"/>
                <w:spacing w:val="-2"/>
                <w:kern w:val="0"/>
                <w:sz w:val="18"/>
                <w:szCs w:val="18"/>
              </w:rPr>
              <w:t>应付债券</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3"/>
              <w:ind w:firstLine="295"/>
              <w:jc w:val="left"/>
              <w:rPr>
                <w:rFonts w:ascii="宋体" w:hAnsi="宋体" w:cs="Arial"/>
                <w:kern w:val="0"/>
                <w:sz w:val="18"/>
                <w:szCs w:val="18"/>
              </w:rPr>
            </w:pPr>
            <w:r>
              <w:rPr>
                <w:rFonts w:hint="eastAsia" w:ascii="宋体" w:hAnsi="宋体" w:cs="Arial"/>
                <w:spacing w:val="-2"/>
                <w:kern w:val="0"/>
                <w:sz w:val="18"/>
                <w:szCs w:val="18"/>
              </w:rPr>
              <w:t>长期股权投资</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4"/>
              <w:ind w:firstLine="296"/>
              <w:jc w:val="left"/>
              <w:rPr>
                <w:rFonts w:ascii="宋体" w:hAnsi="宋体" w:cs="Arial"/>
                <w:kern w:val="0"/>
                <w:sz w:val="18"/>
                <w:szCs w:val="18"/>
              </w:rPr>
            </w:pPr>
            <w:r>
              <w:rPr>
                <w:rFonts w:hint="eastAsia" w:ascii="宋体" w:hAnsi="宋体" w:cs="Arial"/>
                <w:spacing w:val="-1"/>
                <w:kern w:val="0"/>
                <w:sz w:val="18"/>
                <w:szCs w:val="18"/>
              </w:rPr>
              <w:t>递延所得税负债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3"/>
              <w:ind w:firstLine="294"/>
              <w:jc w:val="left"/>
              <w:rPr>
                <w:rFonts w:ascii="宋体" w:hAnsi="宋体" w:cs="Arial"/>
                <w:kern w:val="0"/>
                <w:sz w:val="18"/>
                <w:szCs w:val="18"/>
              </w:rPr>
            </w:pPr>
            <w:r>
              <w:rPr>
                <w:rFonts w:hint="eastAsia" w:ascii="宋体" w:hAnsi="宋体" w:cs="Arial"/>
                <w:spacing w:val="-1"/>
                <w:kern w:val="0"/>
                <w:sz w:val="18"/>
                <w:szCs w:val="18"/>
              </w:rPr>
              <w:t>投资性房地产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4"/>
              <w:ind w:firstLine="295"/>
              <w:jc w:val="left"/>
              <w:rPr>
                <w:rFonts w:ascii="宋体" w:hAnsi="宋体" w:cs="Arial"/>
                <w:kern w:val="0"/>
                <w:sz w:val="18"/>
                <w:szCs w:val="18"/>
              </w:rPr>
            </w:pPr>
            <w:r>
              <w:rPr>
                <w:rFonts w:hint="eastAsia" w:ascii="宋体" w:hAnsi="宋体" w:cs="Arial"/>
                <w:spacing w:val="-2"/>
                <w:kern w:val="0"/>
                <w:sz w:val="18"/>
                <w:szCs w:val="18"/>
              </w:rPr>
              <w:t>其他负债</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3"/>
              <w:ind w:firstLine="310"/>
              <w:jc w:val="left"/>
              <w:rPr>
                <w:rFonts w:ascii="宋体" w:hAnsi="宋体" w:cs="Arial"/>
                <w:kern w:val="0"/>
                <w:sz w:val="18"/>
                <w:szCs w:val="18"/>
              </w:rPr>
            </w:pPr>
            <w:r>
              <w:rPr>
                <w:rFonts w:hint="eastAsia" w:ascii="宋体" w:hAnsi="宋体" w:cs="Arial"/>
                <w:spacing w:val="-5"/>
                <w:kern w:val="0"/>
                <w:sz w:val="18"/>
                <w:szCs w:val="18"/>
              </w:rPr>
              <w:t>固定资产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5"/>
              <w:ind w:firstLine="123"/>
              <w:jc w:val="left"/>
              <w:rPr>
                <w:rFonts w:ascii="宋体" w:hAnsi="宋体" w:cs="Arial"/>
                <w:kern w:val="0"/>
                <w:sz w:val="18"/>
                <w:szCs w:val="18"/>
              </w:rPr>
            </w:pPr>
            <w:r>
              <w:rPr>
                <w:rFonts w:hint="eastAsia" w:ascii="宋体" w:hAnsi="宋体" w:cs="Arial"/>
                <w:spacing w:val="-3"/>
                <w:kern w:val="0"/>
                <w:sz w:val="18"/>
                <w:szCs w:val="18"/>
              </w:rPr>
              <w:t>负债合计</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4"/>
              <w:ind w:firstLine="294"/>
              <w:jc w:val="left"/>
              <w:rPr>
                <w:rFonts w:ascii="宋体" w:hAnsi="宋体" w:cs="Arial"/>
                <w:kern w:val="0"/>
                <w:sz w:val="18"/>
                <w:szCs w:val="18"/>
              </w:rPr>
            </w:pPr>
            <w:r>
              <w:rPr>
                <w:rFonts w:hint="eastAsia" w:ascii="宋体" w:hAnsi="宋体" w:cs="Arial"/>
                <w:spacing w:val="-2"/>
                <w:kern w:val="0"/>
                <w:sz w:val="18"/>
                <w:szCs w:val="18"/>
              </w:rPr>
              <w:t>无形资产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4"/>
              <w:ind w:firstLine="295"/>
              <w:jc w:val="left"/>
              <w:rPr>
                <w:rFonts w:ascii="宋体" w:hAnsi="宋体" w:cs="Arial"/>
                <w:kern w:val="0"/>
                <w:sz w:val="18"/>
                <w:szCs w:val="18"/>
              </w:rPr>
            </w:pPr>
            <w:r>
              <w:rPr>
                <w:rFonts w:hint="eastAsia" w:ascii="宋体" w:hAnsi="宋体" w:cs="Arial"/>
                <w:spacing w:val="-1"/>
                <w:kern w:val="0"/>
                <w:sz w:val="18"/>
                <w:szCs w:val="18"/>
              </w:rPr>
              <w:t>递延所得税资产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3"/>
              <w:ind w:firstLine="116"/>
              <w:jc w:val="left"/>
              <w:rPr>
                <w:rFonts w:ascii="宋体" w:hAnsi="宋体" w:cs="Arial"/>
                <w:kern w:val="0"/>
                <w:sz w:val="18"/>
                <w:szCs w:val="18"/>
              </w:rPr>
            </w:pPr>
            <w:r>
              <w:rPr>
                <w:rFonts w:hint="eastAsia" w:ascii="宋体" w:hAnsi="宋体" w:cs="Arial"/>
                <w:spacing w:val="-1"/>
                <w:kern w:val="0"/>
                <w:sz w:val="18"/>
                <w:szCs w:val="18"/>
              </w:rPr>
              <w:t>所有者权益（或股东权益</w:t>
            </w:r>
            <w:r>
              <w:rPr>
                <w:rFonts w:hint="eastAsia" w:ascii="宋体" w:hAnsi="宋体" w:cs="Arial"/>
                <w:spacing w:val="-47"/>
                <w:kern w:val="0"/>
                <w:sz w:val="18"/>
                <w:szCs w:val="18"/>
              </w:rPr>
              <w:t>）：</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5"/>
              <w:ind w:firstLine="294"/>
              <w:jc w:val="left"/>
              <w:rPr>
                <w:rFonts w:ascii="宋体" w:hAnsi="宋体" w:cs="Arial"/>
                <w:kern w:val="0"/>
                <w:sz w:val="18"/>
                <w:szCs w:val="18"/>
              </w:rPr>
            </w:pPr>
            <w:r>
              <w:rPr>
                <w:rFonts w:hint="eastAsia" w:ascii="宋体" w:hAnsi="宋体" w:cs="Arial"/>
                <w:spacing w:val="-2"/>
                <w:kern w:val="0"/>
                <w:sz w:val="18"/>
                <w:szCs w:val="18"/>
              </w:rPr>
              <w:t>存放联行</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86"/>
              <w:ind w:firstLine="300"/>
              <w:jc w:val="left"/>
              <w:rPr>
                <w:rFonts w:cs="Arial"/>
                <w:kern w:val="0"/>
                <w:sz w:val="18"/>
                <w:szCs w:val="18"/>
              </w:rPr>
            </w:pPr>
            <w:r>
              <w:rPr>
                <w:rFonts w:hint="eastAsia" w:ascii="宋体" w:hAnsi="宋体" w:cs="Arial"/>
                <w:spacing w:val="-2"/>
                <w:kern w:val="0"/>
                <w:sz w:val="18"/>
                <w:szCs w:val="18"/>
              </w:rPr>
              <w:t>实收资本</w:t>
            </w:r>
            <w:r>
              <w:rPr>
                <w:rFonts w:cs="Arial"/>
                <w:spacing w:val="-2"/>
                <w:kern w:val="0"/>
                <w:sz w:val="18"/>
                <w:szCs w:val="18"/>
              </w:rPr>
              <w:t>(</w:t>
            </w:r>
            <w:r>
              <w:rPr>
                <w:rFonts w:hint="eastAsia" w:ascii="宋体" w:hAnsi="宋体" w:cs="Arial"/>
                <w:spacing w:val="-2"/>
                <w:kern w:val="0"/>
                <w:sz w:val="18"/>
                <w:szCs w:val="18"/>
              </w:rPr>
              <w:t>或股本</w:t>
            </w:r>
            <w:r>
              <w:rPr>
                <w:rFonts w:cs="Arial"/>
                <w:spacing w:val="-2"/>
                <w:kern w:val="0"/>
                <w:sz w:val="18"/>
                <w:szCs w:val="18"/>
              </w:rPr>
              <w:t>)</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75"/>
              <w:ind w:firstLine="294"/>
              <w:jc w:val="left"/>
              <w:rPr>
                <w:rFonts w:ascii="宋体" w:hAnsi="宋体" w:cs="Arial"/>
                <w:kern w:val="0"/>
                <w:sz w:val="18"/>
                <w:szCs w:val="18"/>
              </w:rPr>
            </w:pPr>
            <w:r>
              <w:rPr>
                <w:rFonts w:hint="eastAsia" w:ascii="宋体" w:hAnsi="宋体" w:cs="Arial"/>
                <w:spacing w:val="-2"/>
                <w:kern w:val="0"/>
                <w:sz w:val="18"/>
                <w:szCs w:val="18"/>
              </w:rPr>
              <w:t>其他资产</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6"/>
              <w:ind w:firstLine="303"/>
              <w:jc w:val="left"/>
              <w:rPr>
                <w:rFonts w:ascii="宋体" w:hAnsi="宋体" w:cs="Arial"/>
                <w:kern w:val="0"/>
                <w:sz w:val="18"/>
                <w:szCs w:val="18"/>
              </w:rPr>
            </w:pPr>
            <w:r>
              <w:rPr>
                <w:rFonts w:hint="eastAsia" w:ascii="宋体" w:hAnsi="宋体" w:cs="Arial"/>
                <w:spacing w:val="-3"/>
                <w:kern w:val="0"/>
                <w:sz w:val="18"/>
                <w:szCs w:val="18"/>
              </w:rPr>
              <w:t>资本公积</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6"/>
              <w:ind w:firstLine="297"/>
              <w:jc w:val="left"/>
              <w:rPr>
                <w:rFonts w:ascii="宋体" w:hAnsi="宋体" w:cs="Arial"/>
                <w:kern w:val="0"/>
                <w:sz w:val="18"/>
                <w:szCs w:val="18"/>
              </w:rPr>
            </w:pPr>
            <w:r>
              <w:rPr>
                <w:rFonts w:hint="eastAsia" w:ascii="宋体" w:hAnsi="宋体" w:cs="Arial"/>
                <w:spacing w:val="-2"/>
                <w:kern w:val="0"/>
                <w:sz w:val="18"/>
                <w:szCs w:val="18"/>
              </w:rPr>
              <w:t>盈余公积</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7"/>
              <w:ind w:firstLine="298"/>
              <w:jc w:val="left"/>
              <w:rPr>
                <w:rFonts w:ascii="宋体" w:hAnsi="宋体" w:cs="Arial"/>
                <w:kern w:val="0"/>
                <w:sz w:val="18"/>
                <w:szCs w:val="18"/>
              </w:rPr>
            </w:pPr>
            <w:r>
              <w:rPr>
                <w:rFonts w:hint="eastAsia" w:ascii="宋体" w:hAnsi="宋体" w:cs="Arial"/>
                <w:spacing w:val="-2"/>
                <w:kern w:val="0"/>
                <w:sz w:val="18"/>
                <w:szCs w:val="18"/>
              </w:rPr>
              <w:t>一般风险准备</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2"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4"/>
              <w:ind w:firstLine="298"/>
              <w:jc w:val="left"/>
              <w:rPr>
                <w:rFonts w:ascii="宋体" w:hAnsi="宋体" w:cs="Arial"/>
                <w:kern w:val="0"/>
                <w:sz w:val="18"/>
                <w:szCs w:val="18"/>
              </w:rPr>
            </w:pPr>
            <w:r>
              <w:rPr>
                <w:rFonts w:hint="eastAsia" w:ascii="宋体" w:hAnsi="宋体" w:cs="Arial"/>
                <w:spacing w:val="-2"/>
                <w:kern w:val="0"/>
                <w:sz w:val="18"/>
                <w:szCs w:val="18"/>
              </w:rPr>
              <w:t>未分配利润</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2"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4"/>
              <w:ind w:firstLine="116"/>
              <w:jc w:val="left"/>
              <w:rPr>
                <w:rFonts w:ascii="宋体" w:hAnsi="宋体" w:cs="Arial"/>
                <w:kern w:val="0"/>
                <w:sz w:val="18"/>
                <w:szCs w:val="18"/>
              </w:rPr>
            </w:pPr>
            <w:r>
              <w:rPr>
                <w:rFonts w:hint="eastAsia" w:ascii="宋体" w:hAnsi="宋体" w:cs="Arial"/>
                <w:spacing w:val="-1"/>
                <w:kern w:val="0"/>
                <w:sz w:val="18"/>
                <w:szCs w:val="18"/>
              </w:rPr>
              <w:t>所有者权益（或股东权益）合计</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1" w:hRule="atLeast"/>
        </w:trPr>
        <w:tc>
          <w:tcPr>
            <w:tcW w:w="3106"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262"/>
              <w:ind w:firstLine="121"/>
              <w:jc w:val="left"/>
              <w:rPr>
                <w:rFonts w:ascii="宋体" w:hAnsi="宋体" w:cs="Arial"/>
                <w:kern w:val="0"/>
                <w:sz w:val="18"/>
                <w:szCs w:val="18"/>
              </w:rPr>
            </w:pPr>
            <w:r>
              <w:rPr>
                <w:rFonts w:hint="eastAsia" w:ascii="宋体" w:hAnsi="宋体" w:cs="Arial"/>
                <w:spacing w:val="-3"/>
                <w:kern w:val="0"/>
                <w:sz w:val="18"/>
                <w:szCs w:val="18"/>
              </w:rPr>
              <w:t>资产总计</w:t>
            </w:r>
          </w:p>
        </w:tc>
        <w:tc>
          <w:tcPr>
            <w:tcW w:w="705"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1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3013" w:type="dxa"/>
            <w:tcBorders>
              <w:top w:val="single" w:color="000000" w:sz="2" w:space="0"/>
              <w:left w:val="nil"/>
              <w:bottom w:val="single" w:color="000000" w:sz="2" w:space="0"/>
              <w:right w:val="single" w:color="000000" w:sz="2" w:space="0"/>
            </w:tcBorders>
            <w:vAlign w:val="top"/>
          </w:tcPr>
          <w:p>
            <w:pPr>
              <w:widowControl/>
              <w:adjustRightInd w:val="0"/>
              <w:snapToGrid w:val="0"/>
              <w:spacing w:before="103" w:line="271" w:lineRule="auto"/>
              <w:ind w:left="122" w:right="110"/>
              <w:jc w:val="left"/>
              <w:rPr>
                <w:rFonts w:ascii="宋体" w:hAnsi="宋体" w:cs="Arial"/>
                <w:kern w:val="0"/>
                <w:sz w:val="18"/>
                <w:szCs w:val="18"/>
              </w:rPr>
            </w:pPr>
            <w:r>
              <w:rPr>
                <w:rFonts w:hint="eastAsia" w:ascii="宋体" w:hAnsi="宋体" w:cs="Arial"/>
                <w:spacing w:val="4"/>
                <w:kern w:val="0"/>
                <w:sz w:val="18"/>
                <w:szCs w:val="18"/>
              </w:rPr>
              <w:t>负债和所有者权益（或股东权益）</w:t>
            </w:r>
            <w:r>
              <w:rPr>
                <w:rFonts w:hint="eastAsia" w:ascii="宋体" w:hAnsi="宋体" w:cs="Arial"/>
                <w:spacing w:val="-4"/>
                <w:kern w:val="0"/>
                <w:sz w:val="18"/>
                <w:szCs w:val="18"/>
              </w:rPr>
              <w:t>总计</w:t>
            </w:r>
          </w:p>
        </w:tc>
        <w:tc>
          <w:tcPr>
            <w:tcW w:w="751"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770"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bl>
    <w:p>
      <w:pPr>
        <w:widowControl/>
        <w:adjustRightInd w:val="0"/>
        <w:snapToGrid w:val="0"/>
        <w:spacing w:line="280" w:lineRule="auto"/>
        <w:jc w:val="left"/>
        <w:rPr>
          <w:rFonts w:ascii="Arial" w:hAnsi="Arial" w:cs="Arial"/>
          <w:kern w:val="0"/>
          <w:szCs w:val="21"/>
        </w:rPr>
      </w:pPr>
    </w:p>
    <w:p>
      <w:pPr>
        <w:widowControl/>
        <w:adjustRightInd w:val="0"/>
        <w:snapToGrid w:val="0"/>
        <w:jc w:val="left"/>
        <w:rPr>
          <w:rFonts w:ascii="Arial" w:hAnsi="Arial" w:cs="Arial"/>
          <w:kern w:val="0"/>
          <w:szCs w:val="21"/>
        </w:rPr>
      </w:pPr>
      <w:r>
        <w:rPr>
          <w:rFonts w:hint="eastAsia" w:ascii="宋体" w:hAnsi="宋体" w:cs="Arial"/>
          <w:spacing w:val="-7"/>
          <w:kern w:val="0"/>
          <w:sz w:val="24"/>
          <w:szCs w:val="24"/>
        </w:rPr>
        <w:t>注：申请人按照有关规定提供资产负债表复印件，资产负债表各机构科目构成</w:t>
      </w:r>
      <w:r>
        <w:rPr>
          <w:rFonts w:hint="eastAsia" w:ascii="宋体" w:hAnsi="宋体" w:cs="Arial"/>
          <w:spacing w:val="-3"/>
          <w:kern w:val="0"/>
          <w:sz w:val="24"/>
          <w:szCs w:val="24"/>
        </w:rPr>
        <w:t>可能不同，以经会计师事务所审计的为准。</w:t>
      </w:r>
    </w:p>
    <w:p>
      <w:pPr>
        <w:widowControl/>
        <w:adjustRightInd w:val="0"/>
        <w:snapToGrid w:val="0"/>
        <w:spacing w:before="86"/>
        <w:jc w:val="center"/>
        <w:rPr>
          <w:rFonts w:ascii="黑体" w:hAnsi="黑体" w:eastAsia="黑体" w:cs="Arial"/>
          <w:spacing w:val="1"/>
          <w:kern w:val="0"/>
          <w:sz w:val="43"/>
          <w:szCs w:val="43"/>
        </w:rPr>
      </w:pPr>
    </w:p>
    <w:p>
      <w:pPr>
        <w:widowControl/>
        <w:adjustRightInd w:val="0"/>
        <w:snapToGrid w:val="0"/>
        <w:spacing w:before="86"/>
        <w:jc w:val="center"/>
        <w:rPr>
          <w:rFonts w:ascii="黑体" w:hAnsi="黑体" w:eastAsia="黑体" w:cs="Arial"/>
          <w:spacing w:val="1"/>
          <w:kern w:val="0"/>
          <w:sz w:val="43"/>
          <w:szCs w:val="43"/>
        </w:rPr>
      </w:pPr>
    </w:p>
    <w:p>
      <w:pPr>
        <w:widowControl/>
        <w:adjustRightInd w:val="0"/>
        <w:snapToGrid w:val="0"/>
        <w:spacing w:before="86"/>
        <w:jc w:val="center"/>
        <w:outlineLvl w:val="2"/>
        <w:rPr>
          <w:rFonts w:ascii="黑体" w:hAnsi="黑体" w:eastAsia="黑体" w:cs="Arial"/>
          <w:spacing w:val="1"/>
          <w:kern w:val="0"/>
          <w:sz w:val="43"/>
          <w:szCs w:val="43"/>
        </w:rPr>
      </w:pPr>
      <w:r>
        <w:rPr>
          <w:rFonts w:hint="eastAsia" w:ascii="黑体" w:hAnsi="黑体" w:eastAsia="黑体" w:cs="Arial"/>
          <w:spacing w:val="1"/>
          <w:kern w:val="0"/>
          <w:sz w:val="43"/>
          <w:szCs w:val="43"/>
        </w:rPr>
        <w:t>损益表</w:t>
      </w:r>
    </w:p>
    <w:p>
      <w:pPr>
        <w:widowControl/>
        <w:adjustRightInd w:val="0"/>
        <w:snapToGrid w:val="0"/>
        <w:spacing w:before="2" w:line="271" w:lineRule="atLeast"/>
        <w:ind w:firstLine="2802"/>
        <w:jc w:val="left"/>
        <w:rPr>
          <w:rFonts w:ascii="宋体" w:hAnsi="宋体" w:cs="Arial"/>
          <w:spacing w:val="-15"/>
          <w:kern w:val="0"/>
          <w:position w:val="4"/>
          <w:sz w:val="20"/>
          <w:szCs w:val="20"/>
        </w:rPr>
      </w:pPr>
    </w:p>
    <w:p>
      <w:pPr>
        <w:widowControl/>
        <w:adjustRightInd w:val="0"/>
        <w:snapToGrid w:val="0"/>
        <w:spacing w:before="2" w:line="271" w:lineRule="atLeast"/>
        <w:jc w:val="center"/>
        <w:rPr>
          <w:rFonts w:ascii="宋体" w:hAnsi="宋体" w:cs="Arial"/>
          <w:kern w:val="0"/>
          <w:sz w:val="20"/>
          <w:szCs w:val="20"/>
        </w:rPr>
      </w:pPr>
      <w:r>
        <w:rPr>
          <w:rFonts w:hint="eastAsia" w:ascii="宋体" w:hAnsi="宋体" w:cs="Arial"/>
          <w:spacing w:val="-15"/>
          <w:kern w:val="0"/>
          <w:position w:val="4"/>
          <w:sz w:val="20"/>
          <w:szCs w:val="20"/>
        </w:rPr>
        <w:t>报告日期：  年  月  日</w:t>
      </w:r>
    </w:p>
    <w:p>
      <w:pPr>
        <w:widowControl/>
        <w:adjustRightInd w:val="0"/>
        <w:snapToGrid w:val="0"/>
        <w:ind w:firstLine="122"/>
        <w:jc w:val="left"/>
        <w:rPr>
          <w:rFonts w:ascii="宋体" w:hAnsi="宋体" w:cs="Arial"/>
          <w:kern w:val="0"/>
          <w:sz w:val="20"/>
          <w:szCs w:val="20"/>
        </w:rPr>
      </w:pPr>
      <w:r>
        <w:rPr>
          <w:rFonts w:hint="eastAsia" w:ascii="宋体" w:hAnsi="宋体" w:cs="Arial"/>
          <w:spacing w:val="-19"/>
          <w:kern w:val="0"/>
          <w:sz w:val="20"/>
          <w:szCs w:val="20"/>
        </w:rPr>
        <w:t>编报单位：</w:t>
      </w:r>
    </w:p>
    <w:p>
      <w:pPr>
        <w:widowControl/>
        <w:adjustRightInd w:val="0"/>
        <w:snapToGrid w:val="0"/>
        <w:spacing w:before="28"/>
        <w:ind w:firstLine="121"/>
        <w:jc w:val="left"/>
        <w:rPr>
          <w:rFonts w:ascii="宋体" w:hAnsi="宋体" w:cs="Arial"/>
          <w:kern w:val="0"/>
          <w:sz w:val="20"/>
          <w:szCs w:val="20"/>
        </w:rPr>
      </w:pPr>
      <w:r>
        <w:rPr>
          <w:rFonts w:hint="eastAsia" w:ascii="宋体" w:hAnsi="宋体" w:cs="Arial"/>
          <w:spacing w:val="-4"/>
          <w:kern w:val="0"/>
          <w:sz w:val="20"/>
          <w:szCs w:val="20"/>
        </w:rPr>
        <w:t>各货币汇总折人民币单位：万元</w:t>
      </w:r>
    </w:p>
    <w:tbl>
      <w:tblPr>
        <w:tblStyle w:val="7"/>
        <w:tblW w:w="8853"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11"/>
        <w:gridCol w:w="2353"/>
        <w:gridCol w:w="2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67"/>
              <w:ind w:firstLine="1785"/>
              <w:jc w:val="left"/>
              <w:rPr>
                <w:rFonts w:ascii="宋体" w:hAnsi="宋体" w:cs="Arial"/>
                <w:kern w:val="0"/>
                <w:szCs w:val="21"/>
              </w:rPr>
            </w:pPr>
            <w:r>
              <w:rPr>
                <w:rFonts w:hint="eastAsia" w:ascii="宋体" w:hAnsi="宋体" w:cs="Arial"/>
                <w:spacing w:val="-3"/>
                <w:kern w:val="0"/>
                <w:szCs w:val="21"/>
              </w:rPr>
              <w:t>项目</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spacing w:before="167"/>
              <w:ind w:firstLine="626"/>
              <w:jc w:val="left"/>
              <w:rPr>
                <w:rFonts w:ascii="宋体" w:hAnsi="宋体" w:cs="Arial"/>
                <w:kern w:val="0"/>
                <w:szCs w:val="21"/>
              </w:rPr>
            </w:pPr>
            <w:r>
              <w:rPr>
                <w:rFonts w:hint="eastAsia" w:ascii="宋体" w:hAnsi="宋体" w:cs="Arial"/>
                <w:spacing w:val="-2"/>
                <w:kern w:val="0"/>
                <w:szCs w:val="21"/>
              </w:rPr>
              <w:t>本期金额</w:t>
            </w: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spacing w:before="168"/>
              <w:ind w:firstLine="642"/>
              <w:jc w:val="left"/>
              <w:rPr>
                <w:rFonts w:ascii="宋体" w:hAnsi="宋体" w:cs="Arial"/>
                <w:kern w:val="0"/>
                <w:szCs w:val="21"/>
              </w:rPr>
            </w:pPr>
            <w:r>
              <w:rPr>
                <w:rFonts w:hint="eastAsia" w:ascii="宋体" w:hAnsi="宋体" w:cs="Arial"/>
                <w:spacing w:val="-2"/>
                <w:kern w:val="0"/>
                <w:szCs w:val="21"/>
              </w:rPr>
              <w:t>上期金额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97"/>
              <w:ind w:firstLine="116"/>
              <w:jc w:val="left"/>
              <w:rPr>
                <w:rFonts w:ascii="宋体" w:hAnsi="宋体" w:cs="Arial"/>
                <w:kern w:val="0"/>
                <w:sz w:val="18"/>
                <w:szCs w:val="18"/>
              </w:rPr>
            </w:pPr>
            <w:r>
              <w:rPr>
                <w:rFonts w:hint="eastAsia" w:ascii="宋体" w:hAnsi="宋体" w:cs="Arial"/>
                <w:spacing w:val="-2"/>
                <w:kern w:val="0"/>
                <w:sz w:val="18"/>
                <w:szCs w:val="18"/>
              </w:rPr>
              <w:t>一、营业收入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0"/>
              <w:ind w:firstLine="115"/>
              <w:jc w:val="left"/>
              <w:rPr>
                <w:rFonts w:ascii="宋体" w:hAnsi="宋体" w:cs="Arial"/>
                <w:kern w:val="0"/>
                <w:sz w:val="18"/>
                <w:szCs w:val="18"/>
              </w:rPr>
            </w:pPr>
            <w:r>
              <w:rPr>
                <w:rFonts w:hint="eastAsia" w:ascii="宋体" w:hAnsi="宋体" w:cs="Arial"/>
                <w:spacing w:val="-2"/>
                <w:kern w:val="0"/>
                <w:sz w:val="18"/>
                <w:szCs w:val="18"/>
              </w:rPr>
              <w:t>利息净收入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98"/>
              <w:ind w:firstLine="475"/>
              <w:jc w:val="left"/>
              <w:rPr>
                <w:rFonts w:ascii="宋体" w:hAnsi="宋体" w:cs="Arial"/>
                <w:kern w:val="0"/>
                <w:sz w:val="18"/>
                <w:szCs w:val="18"/>
              </w:rPr>
            </w:pPr>
            <w:r>
              <w:rPr>
                <w:rFonts w:hint="eastAsia" w:ascii="宋体" w:hAnsi="宋体" w:cs="Arial"/>
                <w:spacing w:val="-2"/>
                <w:kern w:val="0"/>
                <w:sz w:val="18"/>
                <w:szCs w:val="18"/>
              </w:rPr>
              <w:t>利息收入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1"/>
              <w:ind w:firstLine="475"/>
              <w:jc w:val="left"/>
              <w:rPr>
                <w:rFonts w:ascii="宋体" w:hAnsi="宋体" w:cs="Arial"/>
                <w:kern w:val="0"/>
                <w:sz w:val="18"/>
                <w:szCs w:val="18"/>
              </w:rPr>
            </w:pPr>
            <w:r>
              <w:rPr>
                <w:rFonts w:hint="eastAsia" w:ascii="宋体" w:hAnsi="宋体" w:cs="Arial"/>
                <w:spacing w:val="-2"/>
                <w:kern w:val="0"/>
                <w:sz w:val="18"/>
                <w:szCs w:val="18"/>
              </w:rPr>
              <w:t>利息支出</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99"/>
              <w:ind w:firstLine="114"/>
              <w:jc w:val="left"/>
              <w:rPr>
                <w:rFonts w:ascii="宋体" w:hAnsi="宋体" w:cs="Arial"/>
                <w:kern w:val="0"/>
                <w:sz w:val="18"/>
                <w:szCs w:val="18"/>
              </w:rPr>
            </w:pPr>
            <w:r>
              <w:rPr>
                <w:rFonts w:hint="eastAsia" w:ascii="宋体" w:hAnsi="宋体" w:cs="Arial"/>
                <w:spacing w:val="-1"/>
                <w:kern w:val="0"/>
                <w:sz w:val="18"/>
                <w:szCs w:val="18"/>
              </w:rPr>
              <w:t>手续费及佣金净收入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474"/>
              <w:jc w:val="left"/>
              <w:rPr>
                <w:rFonts w:ascii="宋体" w:hAnsi="宋体" w:cs="Arial"/>
                <w:kern w:val="0"/>
                <w:sz w:val="18"/>
                <w:szCs w:val="18"/>
              </w:rPr>
            </w:pPr>
            <w:r>
              <w:rPr>
                <w:rFonts w:hint="eastAsia" w:ascii="宋体" w:hAnsi="宋体" w:cs="Arial"/>
                <w:spacing w:val="-1"/>
                <w:kern w:val="0"/>
                <w:sz w:val="18"/>
                <w:szCs w:val="18"/>
              </w:rPr>
              <w:t>手续费及佣金收入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3"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0"/>
              <w:ind w:firstLine="474"/>
              <w:jc w:val="left"/>
              <w:rPr>
                <w:rFonts w:ascii="宋体" w:hAnsi="宋体" w:cs="Arial"/>
                <w:kern w:val="0"/>
                <w:sz w:val="18"/>
                <w:szCs w:val="18"/>
              </w:rPr>
            </w:pPr>
            <w:r>
              <w:rPr>
                <w:rFonts w:hint="eastAsia" w:ascii="宋体" w:hAnsi="宋体" w:cs="Arial"/>
                <w:spacing w:val="-1"/>
                <w:kern w:val="0"/>
                <w:sz w:val="18"/>
                <w:szCs w:val="18"/>
              </w:rPr>
              <w:t>手续费及佣金支出</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3"/>
              <w:ind w:firstLine="114"/>
              <w:jc w:val="left"/>
              <w:rPr>
                <w:rFonts w:ascii="宋体" w:hAnsi="宋体" w:cs="Arial"/>
                <w:kern w:val="0"/>
                <w:sz w:val="18"/>
                <w:szCs w:val="18"/>
              </w:rPr>
            </w:pPr>
            <w:r>
              <w:rPr>
                <w:rFonts w:hint="eastAsia" w:ascii="宋体" w:hAnsi="宋体" w:cs="Arial"/>
                <w:spacing w:val="-3"/>
                <w:kern w:val="0"/>
                <w:sz w:val="18"/>
                <w:szCs w:val="18"/>
              </w:rPr>
              <w:t>投资收益（损失以“-”号填列）</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1"/>
              <w:ind w:firstLine="474"/>
              <w:jc w:val="left"/>
              <w:rPr>
                <w:rFonts w:ascii="宋体" w:hAnsi="宋体" w:cs="Arial"/>
                <w:kern w:val="0"/>
                <w:sz w:val="18"/>
                <w:szCs w:val="18"/>
              </w:rPr>
            </w:pPr>
            <w:r>
              <w:rPr>
                <w:rFonts w:hint="eastAsia" w:ascii="宋体" w:hAnsi="宋体" w:cs="Arial"/>
                <w:spacing w:val="-1"/>
                <w:kern w:val="0"/>
                <w:sz w:val="18"/>
                <w:szCs w:val="18"/>
              </w:rPr>
              <w:t>其中：对联营企业和合营企业的投资收益</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5"/>
              <w:ind w:firstLine="120"/>
              <w:jc w:val="left"/>
              <w:rPr>
                <w:rFonts w:ascii="宋体" w:hAnsi="宋体" w:cs="Arial"/>
                <w:kern w:val="0"/>
                <w:sz w:val="18"/>
                <w:szCs w:val="18"/>
              </w:rPr>
            </w:pPr>
            <w:r>
              <w:rPr>
                <w:rFonts w:hint="eastAsia" w:ascii="宋体" w:hAnsi="宋体" w:cs="Arial"/>
                <w:spacing w:val="-3"/>
                <w:kern w:val="0"/>
                <w:sz w:val="18"/>
                <w:szCs w:val="18"/>
              </w:rPr>
              <w:t>公允价值变动收益（损失以“-”号填列）</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9"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4"/>
              <w:jc w:val="left"/>
              <w:rPr>
                <w:rFonts w:ascii="宋体" w:hAnsi="宋体" w:cs="Arial"/>
                <w:kern w:val="0"/>
                <w:sz w:val="18"/>
                <w:szCs w:val="18"/>
              </w:rPr>
            </w:pPr>
            <w:r>
              <w:rPr>
                <w:rFonts w:hint="eastAsia" w:ascii="宋体" w:hAnsi="宋体" w:cs="Arial"/>
                <w:spacing w:val="-3"/>
                <w:kern w:val="0"/>
                <w:sz w:val="18"/>
                <w:szCs w:val="18"/>
              </w:rPr>
              <w:t>汇兑收益（损失以“-”号填列）</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4"/>
              <w:ind w:firstLine="114"/>
              <w:jc w:val="left"/>
              <w:rPr>
                <w:rFonts w:ascii="宋体" w:hAnsi="宋体" w:cs="Arial"/>
                <w:kern w:val="0"/>
                <w:sz w:val="18"/>
                <w:szCs w:val="18"/>
              </w:rPr>
            </w:pPr>
            <w:r>
              <w:rPr>
                <w:rFonts w:hint="eastAsia" w:ascii="宋体" w:hAnsi="宋体" w:cs="Arial"/>
                <w:spacing w:val="-1"/>
                <w:kern w:val="0"/>
                <w:sz w:val="18"/>
                <w:szCs w:val="18"/>
              </w:rPr>
              <w:t>其他业务收入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9"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7"/>
              <w:jc w:val="left"/>
              <w:rPr>
                <w:rFonts w:ascii="宋体" w:hAnsi="宋体" w:cs="Arial"/>
                <w:kern w:val="0"/>
                <w:sz w:val="18"/>
                <w:szCs w:val="18"/>
              </w:rPr>
            </w:pPr>
            <w:r>
              <w:rPr>
                <w:rFonts w:hint="eastAsia" w:ascii="宋体" w:hAnsi="宋体" w:cs="Arial"/>
                <w:spacing w:val="-2"/>
                <w:kern w:val="0"/>
                <w:sz w:val="18"/>
                <w:szCs w:val="18"/>
              </w:rPr>
              <w:t>二、营业支出</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6"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5"/>
              <w:ind w:firstLine="115"/>
              <w:jc w:val="left"/>
              <w:rPr>
                <w:rFonts w:ascii="宋体" w:hAnsi="宋体" w:cs="Arial"/>
                <w:kern w:val="0"/>
                <w:sz w:val="18"/>
                <w:szCs w:val="18"/>
              </w:rPr>
            </w:pPr>
            <w:r>
              <w:rPr>
                <w:rFonts w:hint="eastAsia" w:ascii="宋体" w:hAnsi="宋体" w:cs="Arial"/>
                <w:spacing w:val="-1"/>
                <w:kern w:val="0"/>
                <w:sz w:val="18"/>
                <w:szCs w:val="18"/>
              </w:rPr>
              <w:t>营业税金及附加</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4"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4"/>
              <w:jc w:val="left"/>
              <w:rPr>
                <w:rFonts w:ascii="宋体" w:hAnsi="宋体" w:cs="Arial"/>
                <w:kern w:val="0"/>
                <w:sz w:val="18"/>
                <w:szCs w:val="18"/>
              </w:rPr>
            </w:pPr>
            <w:r>
              <w:rPr>
                <w:rFonts w:hint="eastAsia" w:ascii="宋体" w:hAnsi="宋体" w:cs="Arial"/>
                <w:spacing w:val="-1"/>
                <w:kern w:val="0"/>
                <w:sz w:val="18"/>
                <w:szCs w:val="18"/>
              </w:rPr>
              <w:t>业务及管理费</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4"/>
              <w:ind w:firstLine="121"/>
              <w:jc w:val="left"/>
              <w:rPr>
                <w:rFonts w:ascii="宋体" w:hAnsi="宋体" w:cs="Arial"/>
                <w:kern w:val="0"/>
                <w:sz w:val="18"/>
                <w:szCs w:val="18"/>
              </w:rPr>
            </w:pPr>
            <w:r>
              <w:rPr>
                <w:rFonts w:hint="eastAsia" w:ascii="宋体" w:hAnsi="宋体" w:cs="Arial"/>
                <w:spacing w:val="-2"/>
                <w:kern w:val="0"/>
                <w:sz w:val="18"/>
                <w:szCs w:val="18"/>
              </w:rPr>
              <w:t>资产减值损失</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9"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4"/>
              <w:jc w:val="left"/>
              <w:rPr>
                <w:rFonts w:ascii="宋体" w:hAnsi="宋体" w:cs="Arial"/>
                <w:kern w:val="0"/>
                <w:sz w:val="18"/>
                <w:szCs w:val="18"/>
              </w:rPr>
            </w:pPr>
            <w:r>
              <w:rPr>
                <w:rFonts w:hint="eastAsia" w:ascii="宋体" w:hAnsi="宋体" w:cs="Arial"/>
                <w:spacing w:val="-1"/>
                <w:kern w:val="0"/>
                <w:sz w:val="18"/>
                <w:szCs w:val="18"/>
              </w:rPr>
              <w:t>其他业务成本</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4"/>
              <w:ind w:firstLine="114"/>
              <w:jc w:val="left"/>
              <w:rPr>
                <w:rFonts w:ascii="宋体" w:hAnsi="宋体" w:cs="Arial"/>
                <w:kern w:val="0"/>
                <w:sz w:val="18"/>
                <w:szCs w:val="18"/>
              </w:rPr>
            </w:pPr>
            <w:r>
              <w:rPr>
                <w:rFonts w:hint="eastAsia" w:ascii="宋体" w:hAnsi="宋体" w:cs="Arial"/>
                <w:spacing w:val="-1"/>
                <w:kern w:val="0"/>
                <w:sz w:val="18"/>
                <w:szCs w:val="18"/>
              </w:rPr>
              <w:t>三、营业利润</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9"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5"/>
              <w:jc w:val="left"/>
              <w:rPr>
                <w:rFonts w:ascii="宋体" w:hAnsi="宋体" w:cs="Arial"/>
                <w:kern w:val="0"/>
                <w:sz w:val="18"/>
                <w:szCs w:val="18"/>
              </w:rPr>
            </w:pPr>
            <w:r>
              <w:rPr>
                <w:rFonts w:hint="eastAsia" w:ascii="宋体" w:hAnsi="宋体" w:cs="Arial"/>
                <w:spacing w:val="-1"/>
                <w:kern w:val="0"/>
                <w:sz w:val="18"/>
                <w:szCs w:val="18"/>
              </w:rPr>
              <w:t>加：营业外收入</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1"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4"/>
              <w:ind w:firstLine="114"/>
              <w:jc w:val="left"/>
              <w:rPr>
                <w:rFonts w:ascii="宋体" w:hAnsi="宋体" w:cs="Arial"/>
                <w:kern w:val="0"/>
                <w:sz w:val="18"/>
                <w:szCs w:val="18"/>
              </w:rPr>
            </w:pPr>
            <w:r>
              <w:rPr>
                <w:rFonts w:hint="eastAsia" w:ascii="宋体" w:hAnsi="宋体" w:cs="Arial"/>
                <w:spacing w:val="-1"/>
                <w:kern w:val="0"/>
                <w:sz w:val="18"/>
                <w:szCs w:val="18"/>
              </w:rPr>
              <w:t>减：营业外支出</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31"/>
              <w:jc w:val="left"/>
              <w:rPr>
                <w:rFonts w:ascii="宋体" w:hAnsi="宋体" w:cs="Arial"/>
                <w:kern w:val="0"/>
                <w:sz w:val="18"/>
                <w:szCs w:val="18"/>
              </w:rPr>
            </w:pPr>
            <w:r>
              <w:rPr>
                <w:rFonts w:hint="eastAsia" w:ascii="宋体" w:hAnsi="宋体" w:cs="Arial"/>
                <w:spacing w:val="-4"/>
                <w:kern w:val="0"/>
                <w:sz w:val="18"/>
                <w:szCs w:val="18"/>
              </w:rPr>
              <w:t>四、利润总额</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114"/>
              <w:jc w:val="left"/>
              <w:rPr>
                <w:rFonts w:ascii="宋体" w:hAnsi="宋体" w:cs="Arial"/>
                <w:kern w:val="0"/>
                <w:sz w:val="18"/>
                <w:szCs w:val="18"/>
              </w:rPr>
            </w:pPr>
            <w:r>
              <w:rPr>
                <w:rFonts w:hint="eastAsia" w:ascii="宋体" w:hAnsi="宋体" w:cs="Arial"/>
                <w:spacing w:val="-1"/>
                <w:kern w:val="0"/>
                <w:sz w:val="18"/>
                <w:szCs w:val="18"/>
              </w:rPr>
              <w:t>减：所得税费用</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1"/>
              <w:ind w:firstLine="117"/>
              <w:jc w:val="left"/>
              <w:rPr>
                <w:rFonts w:ascii="宋体" w:hAnsi="宋体" w:cs="Arial"/>
                <w:kern w:val="0"/>
                <w:sz w:val="18"/>
                <w:szCs w:val="18"/>
              </w:rPr>
            </w:pPr>
            <w:r>
              <w:rPr>
                <w:rFonts w:hint="eastAsia" w:ascii="宋体" w:hAnsi="宋体" w:cs="Arial"/>
                <w:spacing w:val="-2"/>
                <w:kern w:val="0"/>
                <w:sz w:val="18"/>
                <w:szCs w:val="18"/>
              </w:rPr>
              <w:t>五、净利润</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0"/>
              <w:ind w:firstLine="114"/>
              <w:jc w:val="left"/>
              <w:rPr>
                <w:rFonts w:ascii="宋体" w:hAnsi="宋体" w:cs="Arial"/>
                <w:kern w:val="0"/>
                <w:sz w:val="18"/>
                <w:szCs w:val="18"/>
              </w:rPr>
            </w:pPr>
            <w:r>
              <w:rPr>
                <w:rFonts w:hint="eastAsia" w:ascii="宋体" w:hAnsi="宋体" w:cs="Arial"/>
                <w:spacing w:val="-6"/>
                <w:kern w:val="0"/>
                <w:sz w:val="18"/>
                <w:szCs w:val="18"/>
              </w:rPr>
              <w:t>六、每股收益：</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3"/>
              <w:ind w:firstLine="426"/>
              <w:jc w:val="left"/>
              <w:rPr>
                <w:rFonts w:ascii="宋体" w:hAnsi="宋体" w:cs="Arial"/>
                <w:kern w:val="0"/>
                <w:sz w:val="18"/>
                <w:szCs w:val="18"/>
              </w:rPr>
            </w:pPr>
            <w:r>
              <w:rPr>
                <w:rFonts w:hint="eastAsia" w:ascii="宋体" w:hAnsi="宋体" w:cs="Arial"/>
                <w:spacing w:val="-3"/>
                <w:kern w:val="0"/>
                <w:sz w:val="18"/>
                <w:szCs w:val="18"/>
              </w:rPr>
              <w:t>（一）基本每股收益</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4111" w:type="dxa"/>
            <w:tcBorders>
              <w:top w:val="single" w:color="000000" w:sz="2" w:space="0"/>
              <w:left w:val="single" w:color="000000" w:sz="2" w:space="0"/>
              <w:bottom w:val="single" w:color="000000" w:sz="2" w:space="0"/>
              <w:right w:val="single" w:color="000000" w:sz="2" w:space="0"/>
            </w:tcBorders>
            <w:vAlign w:val="top"/>
          </w:tcPr>
          <w:p>
            <w:pPr>
              <w:widowControl/>
              <w:adjustRightInd w:val="0"/>
              <w:snapToGrid w:val="0"/>
              <w:spacing w:before="102"/>
              <w:ind w:firstLine="388"/>
              <w:jc w:val="left"/>
              <w:rPr>
                <w:rFonts w:ascii="宋体" w:hAnsi="宋体" w:cs="Arial"/>
                <w:kern w:val="0"/>
                <w:sz w:val="18"/>
                <w:szCs w:val="18"/>
              </w:rPr>
            </w:pPr>
            <w:r>
              <w:rPr>
                <w:rFonts w:hint="eastAsia" w:ascii="宋体" w:hAnsi="宋体" w:cs="Arial"/>
                <w:spacing w:val="-3"/>
                <w:kern w:val="0"/>
                <w:sz w:val="18"/>
                <w:szCs w:val="18"/>
              </w:rPr>
              <w:t>（二）稀释每股收益</w:t>
            </w:r>
          </w:p>
        </w:tc>
        <w:tc>
          <w:tcPr>
            <w:tcW w:w="2353"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c>
          <w:tcPr>
            <w:tcW w:w="2389" w:type="dxa"/>
            <w:tcBorders>
              <w:top w:val="single" w:color="000000" w:sz="2" w:space="0"/>
              <w:left w:val="nil"/>
              <w:bottom w:val="single" w:color="000000" w:sz="2" w:space="0"/>
              <w:right w:val="single" w:color="000000" w:sz="2" w:space="0"/>
            </w:tcBorders>
            <w:vAlign w:val="top"/>
          </w:tcPr>
          <w:p>
            <w:pPr>
              <w:widowControl/>
              <w:adjustRightInd w:val="0"/>
              <w:snapToGrid w:val="0"/>
              <w:jc w:val="left"/>
              <w:rPr>
                <w:rFonts w:cs="Arial"/>
                <w:kern w:val="0"/>
                <w:szCs w:val="21"/>
              </w:rPr>
            </w:pPr>
          </w:p>
        </w:tc>
      </w:tr>
    </w:tbl>
    <w:p>
      <w:pPr>
        <w:widowControl/>
        <w:adjustRightInd w:val="0"/>
        <w:snapToGrid w:val="0"/>
        <w:jc w:val="left"/>
        <w:rPr>
          <w:rFonts w:ascii="Arial" w:hAnsi="Arial" w:cs="Arial"/>
          <w:kern w:val="0"/>
          <w:szCs w:val="21"/>
        </w:rPr>
      </w:pPr>
    </w:p>
    <w:p>
      <w:pPr>
        <w:widowControl/>
        <w:adjustRightInd w:val="0"/>
        <w:snapToGrid w:val="0"/>
        <w:jc w:val="left"/>
        <w:rPr>
          <w:rFonts w:ascii="Arial" w:hAnsi="Arial" w:cs="Arial"/>
          <w:kern w:val="0"/>
          <w:sz w:val="2"/>
          <w:szCs w:val="2"/>
        </w:rPr>
      </w:pPr>
    </w:p>
    <w:p>
      <w:pPr>
        <w:widowControl/>
        <w:adjustRightInd w:val="0"/>
        <w:snapToGrid w:val="0"/>
        <w:jc w:val="left"/>
        <w:rPr>
          <w:rFonts w:ascii="Arial" w:hAnsi="Arial" w:cs="Arial"/>
          <w:kern w:val="0"/>
          <w:szCs w:val="21"/>
        </w:rPr>
      </w:pPr>
      <w:r>
        <w:rPr>
          <w:rFonts w:hint="eastAsia" w:ascii="宋体" w:hAnsi="宋体" w:cs="Arial"/>
          <w:spacing w:val="-2"/>
          <w:kern w:val="0"/>
          <w:sz w:val="24"/>
          <w:szCs w:val="24"/>
        </w:rPr>
        <w:t>注：申请人按照有关规定提供损益表复印件，损益表(也为利润表或损益比较表)各机构项目构成可能不同，以经会计师事务所审计的为准。</w:t>
      </w:r>
    </w:p>
    <w:p>
      <w:pPr>
        <w:widowControl/>
        <w:adjustRightInd w:val="0"/>
        <w:snapToGrid w:val="0"/>
        <w:spacing w:line="560" w:lineRule="exact"/>
        <w:ind w:firstLine="600" w:firstLineChars="200"/>
        <w:outlineLvl w:val="1"/>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7、相关指标</w:t>
      </w:r>
    </w:p>
    <w:p>
      <w:pPr>
        <w:widowControl/>
        <w:adjustRightInd w:val="0"/>
        <w:snapToGrid w:val="0"/>
        <w:spacing w:line="520" w:lineRule="atLeast"/>
        <w:jc w:val="center"/>
        <w:outlineLvl w:val="0"/>
        <w:rPr>
          <w:rFonts w:ascii="方正小标宋_GBK" w:hAnsi="方正小标宋_GBK" w:eastAsia="方正小标宋_GBK" w:cs="Arial"/>
          <w:kern w:val="0"/>
          <w:sz w:val="36"/>
          <w:szCs w:val="36"/>
        </w:rPr>
      </w:pPr>
      <w:r>
        <w:rPr>
          <w:rFonts w:hint="eastAsia" w:ascii="方正小标宋_GBK" w:hAnsi="方正小标宋_GBK" w:eastAsia="方正小标宋_GBK" w:cs="Arial"/>
          <w:spacing w:val="1"/>
          <w:kern w:val="0"/>
          <w:sz w:val="36"/>
          <w:szCs w:val="36"/>
        </w:rPr>
        <w:t>国库集中收付代理银行资格认定</w:t>
      </w:r>
    </w:p>
    <w:p>
      <w:pPr>
        <w:widowControl/>
        <w:adjustRightInd w:val="0"/>
        <w:snapToGrid w:val="0"/>
        <w:spacing w:line="520" w:lineRule="atLeast"/>
        <w:jc w:val="center"/>
        <w:outlineLvl w:val="0"/>
        <w:rPr>
          <w:rFonts w:ascii="方正小标宋_GBK" w:hAnsi="方正小标宋_GBK" w:eastAsia="方正小标宋_GBK" w:cs="Arial"/>
          <w:kern w:val="0"/>
          <w:sz w:val="31"/>
          <w:szCs w:val="31"/>
        </w:rPr>
      </w:pPr>
      <w:r>
        <w:rPr>
          <w:rFonts w:hint="eastAsia" w:ascii="方正小标宋_GBK" w:hAnsi="方正小标宋_GBK" w:eastAsia="方正小标宋_GBK" w:cs="Arial"/>
          <w:spacing w:val="-1"/>
          <w:kern w:val="0"/>
          <w:sz w:val="36"/>
          <w:szCs w:val="36"/>
        </w:rPr>
        <w:t>申请人相关指标统计表</w:t>
      </w:r>
    </w:p>
    <w:p>
      <w:pPr>
        <w:widowControl/>
        <w:adjustRightInd w:val="0"/>
        <w:snapToGrid w:val="0"/>
        <w:spacing w:before="208"/>
        <w:jc w:val="center"/>
        <w:outlineLvl w:val="1"/>
        <w:rPr>
          <w:rFonts w:ascii="仿宋_GB2312" w:hAnsi="Arial" w:eastAsia="仿宋_GB2312" w:cs="Arial"/>
          <w:kern w:val="0"/>
          <w:sz w:val="28"/>
          <w:szCs w:val="28"/>
        </w:rPr>
      </w:pPr>
      <w:r>
        <w:rPr>
          <w:rFonts w:hint="eastAsia" w:ascii="仿宋_GB2312" w:hAnsi="Arial" w:eastAsia="仿宋_GB2312" w:cs="Arial"/>
          <w:spacing w:val="-14"/>
          <w:kern w:val="0"/>
          <w:sz w:val="28"/>
          <w:szCs w:val="28"/>
        </w:rPr>
        <w:t>年   月   日</w:t>
      </w:r>
    </w:p>
    <w:p>
      <w:pPr>
        <w:widowControl/>
        <w:adjustRightInd w:val="0"/>
        <w:snapToGrid w:val="0"/>
        <w:spacing w:before="220"/>
        <w:ind w:firstLine="39"/>
        <w:jc w:val="left"/>
        <w:outlineLvl w:val="1"/>
        <w:rPr>
          <w:rFonts w:ascii="仿宋_GB2312" w:hAnsi="Arial" w:eastAsia="仿宋_GB2312" w:cs="Arial"/>
          <w:kern w:val="0"/>
          <w:sz w:val="28"/>
          <w:szCs w:val="28"/>
        </w:rPr>
      </w:pPr>
      <w:r>
        <w:rPr>
          <w:rFonts w:hint="eastAsia" w:ascii="仿宋_GB2312" w:hAnsi="Arial" w:eastAsia="仿宋_GB2312" w:cs="Arial"/>
          <w:spacing w:val="-5"/>
          <w:kern w:val="0"/>
          <w:sz w:val="28"/>
          <w:szCs w:val="28"/>
        </w:rPr>
        <w:t>申请人名称（加盖公章）：</w:t>
      </w:r>
    </w:p>
    <w:tbl>
      <w:tblPr>
        <w:tblStyle w:val="7"/>
        <w:tblW w:w="8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6"/>
        <w:gridCol w:w="1417"/>
        <w:gridCol w:w="1134"/>
        <w:gridCol w:w="1134"/>
        <w:gridCol w:w="3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283" w:type="dxa"/>
            <w:gridSpan w:val="2"/>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相关指标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w:t>
            </w: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9" w:hRule="atLeast"/>
        </w:trPr>
        <w:tc>
          <w:tcPr>
            <w:tcW w:w="866"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安全性</w:t>
            </w: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资本充足率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资本净额÷应用资本底线及校准后的风险加权资产合计×</w:t>
            </w:r>
            <w:r>
              <w:rPr>
                <w:rFonts w:ascii="仿宋_GB2312" w:hAnsi="宋体" w:eastAsia="仿宋_GB2312" w:cs="宋体"/>
                <w:color w:val="000000"/>
                <w:kern w:val="0"/>
                <w:sz w:val="18"/>
              </w:rPr>
              <w:t>100%，G40《资产充足率汇总表》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不良贷款率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（次级类贷款</w:t>
            </w:r>
            <w:r>
              <w:rPr>
                <w:rFonts w:ascii="仿宋_GB2312" w:hAnsi="宋体" w:eastAsia="仿宋_GB2312" w:cs="宋体"/>
                <w:color w:val="000000"/>
                <w:kern w:val="0"/>
                <w:sz w:val="18"/>
              </w:rPr>
              <w:t>+可疑类贷款+损失类贷款）÷各项贷款×100%,G11_Ⅰ《资产质量五级分类情况表—按行业分类的贷款》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不良资产率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应分类的表内外承担信用风险的不良资产÷应分类的表内外承担信用风险的资产×</w:t>
            </w:r>
            <w:r>
              <w:rPr>
                <w:rFonts w:ascii="仿宋_GB2312" w:hAnsi="宋体" w:eastAsia="仿宋_GB2312" w:cs="宋体"/>
                <w:color w:val="000000"/>
                <w:kern w:val="0"/>
                <w:sz w:val="18"/>
              </w:rPr>
              <w:t>100%,G11_Ⅱ《资产质量五级分类情况表—资产质量及准备金》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4"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拨备覆盖率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贷款减值准备金÷（次级类贷款</w:t>
            </w:r>
            <w:r>
              <w:rPr>
                <w:rFonts w:ascii="仿宋_GB2312" w:hAnsi="宋体" w:eastAsia="仿宋_GB2312" w:cs="宋体"/>
                <w:color w:val="000000"/>
                <w:kern w:val="0"/>
                <w:sz w:val="18"/>
              </w:rPr>
              <w:t>+可疑类贷款+损失类贷款）×100%，G03《各项资产减值损失准备情况表》、G11_Ⅱ《资产质量五级分类情况表—按行业分类贷款》、G11_Ⅱ《资产质量五级分类情况表—资产质量及准备金》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trPr>
        <w:tc>
          <w:tcPr>
            <w:tcW w:w="866"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流动性</w:t>
            </w: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流动性比率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流动性资产÷流动性负债×</w:t>
            </w:r>
            <w:r>
              <w:rPr>
                <w:rFonts w:ascii="仿宋_GB2312" w:hAnsi="宋体" w:eastAsia="仿宋_GB2312" w:cs="宋体"/>
                <w:color w:val="000000"/>
                <w:kern w:val="0"/>
                <w:sz w:val="18"/>
              </w:rPr>
              <w:t>100%，G22《流动性比例监测表》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6"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vMerge w:val="restart"/>
            <w:tcBorders>
              <w:top w:val="single" w:color="000000" w:sz="12" w:space="0"/>
              <w:left w:val="single" w:color="000000" w:sz="12" w:space="0"/>
              <w:right w:val="single" w:color="000000" w:sz="12" w:space="0"/>
            </w:tcBorders>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流动性覆盖率</w:t>
            </w:r>
          </w:p>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w:t>
            </w:r>
            <w:r>
              <w:rPr>
                <w:rFonts w:hint="eastAsia" w:ascii="仿宋_GB2312" w:hAnsi="宋体" w:eastAsia="仿宋_GB2312" w:cs="宋体"/>
                <w:color w:val="000000"/>
                <w:kern w:val="0"/>
                <w:szCs w:val="21"/>
              </w:rPr>
              <w:t>优质流动性资产充足率</w:t>
            </w:r>
          </w:p>
        </w:tc>
        <w:tc>
          <w:tcPr>
            <w:tcW w:w="1134" w:type="dxa"/>
            <w:vMerge w:val="restart"/>
            <w:tcBorders>
              <w:top w:val="single" w:color="000000" w:sz="12" w:space="0"/>
              <w:left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vMerge w:val="restart"/>
            <w:tcBorders>
              <w:top w:val="single" w:color="000000" w:sz="12" w:space="0"/>
              <w:left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流动性资产÷（资金流出</w:t>
            </w:r>
            <w:r>
              <w:rPr>
                <w:rFonts w:ascii="仿宋_GB2312" w:hAnsi="宋体" w:eastAsia="仿宋_GB2312" w:cs="宋体"/>
                <w:color w:val="000000"/>
                <w:kern w:val="0"/>
                <w:sz w:val="18"/>
              </w:rPr>
              <w:t>-限额内的资金流入）×100%，G25_Ⅰ《流动性覆盖率情况表》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7"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vMerge w:val="continue"/>
            <w:tcBorders>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vMerge w:val="continue"/>
            <w:tcBorders>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vMerge w:val="continue"/>
            <w:tcBorders>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优质流动性资产÷（可能现金流出</w:t>
            </w:r>
            <w:r>
              <w:rPr>
                <w:rFonts w:ascii="仿宋_GB2312" w:hAnsi="宋体" w:eastAsia="仿宋_GB2312" w:cs="宋体"/>
                <w:color w:val="000000"/>
                <w:kern w:val="0"/>
                <w:sz w:val="18"/>
              </w:rPr>
              <w:t>-可能现金流入）×100%，G26《优质流动性资产充足率》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流动性匹配率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加权资金来源÷加权资金运用×</w:t>
            </w:r>
            <w:r>
              <w:rPr>
                <w:rFonts w:ascii="仿宋_GB2312" w:hAnsi="宋体" w:eastAsia="仿宋_GB2312" w:cs="宋体"/>
                <w:color w:val="000000"/>
                <w:kern w:val="0"/>
                <w:sz w:val="18"/>
              </w:rPr>
              <w:t>100%，G21《流动性期限缺口统计表》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净稳定资金比率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可用的稳定资金÷业务所需的稳定资金×</w:t>
            </w:r>
            <w:r>
              <w:rPr>
                <w:rFonts w:ascii="仿宋_GB2312" w:hAnsi="宋体" w:eastAsia="仿宋_GB2312" w:cs="宋体"/>
                <w:color w:val="000000"/>
                <w:kern w:val="0"/>
                <w:sz w:val="18"/>
              </w:rPr>
              <w:t>100%，G25_Ⅱ《经稳定资金比例情况表》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4" w:hRule="atLeast"/>
        </w:trPr>
        <w:tc>
          <w:tcPr>
            <w:tcW w:w="866"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效益性</w:t>
            </w: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资产利润率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税后利润÷资产平均余额×</w:t>
            </w:r>
            <w:r>
              <w:rPr>
                <w:rFonts w:ascii="仿宋_GB2312" w:hAnsi="宋体" w:eastAsia="仿宋_GB2312" w:cs="宋体"/>
                <w:color w:val="000000"/>
                <w:kern w:val="0"/>
                <w:sz w:val="18"/>
              </w:rPr>
              <w:t>100%×折年系数，G01《资产负债项目统计表》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6"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资本利润率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税收利润÷（所有者权益</w:t>
            </w:r>
            <w:r>
              <w:rPr>
                <w:rFonts w:ascii="仿宋_GB2312" w:hAnsi="宋体" w:eastAsia="仿宋_GB2312" w:cs="宋体"/>
                <w:color w:val="000000"/>
                <w:kern w:val="0"/>
                <w:sz w:val="18"/>
              </w:rPr>
              <w:t>+少数股东权益）平均余额×100%×折年系数，G01《资产负债项目统计表》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2"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成本收入比例</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（营业支出—营业税金及附加）÷营业净收入×</w:t>
            </w:r>
            <w:r>
              <w:rPr>
                <w:rFonts w:ascii="仿宋_GB2312" w:hAnsi="宋体" w:eastAsia="仿宋_GB2312" w:cs="宋体"/>
                <w:color w:val="000000"/>
                <w:kern w:val="0"/>
                <w:sz w:val="18"/>
              </w:rPr>
              <w:t>100%，G04《利润表》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7" w:hRule="atLeast"/>
        </w:trPr>
        <w:tc>
          <w:tcPr>
            <w:tcW w:w="866" w:type="dxa"/>
            <w:vMerge w:val="restart"/>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网点、人员</w:t>
            </w:r>
            <w:r>
              <w:rPr>
                <w:rFonts w:ascii="仿宋_GB2312" w:hAnsi="宋体" w:eastAsia="仿宋_GB2312" w:cs="宋体"/>
                <w:color w:val="000000"/>
                <w:kern w:val="0"/>
              </w:rPr>
              <w:t>数量</w:t>
            </w: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eastAsia="zh-CN"/>
              </w:rPr>
              <w:t>全市</w:t>
            </w:r>
            <w:r>
              <w:rPr>
                <w:rFonts w:hint="eastAsia" w:ascii="仿宋_GB2312" w:hAnsi="宋体" w:eastAsia="仿宋_GB2312" w:cs="宋体"/>
                <w:color w:val="000000"/>
                <w:kern w:val="0"/>
                <w:szCs w:val="21"/>
                <w:highlight w:val="none"/>
              </w:rPr>
              <w:t>机构网点数量</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Cs w:val="21"/>
                <w:lang w:eastAsia="zh-CN"/>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统计办理对公业务的机构网点数量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highlight w:val="none"/>
              </w:rPr>
              <w:t>其中：地市级（含主要城区）机构网点数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Cs w:val="21"/>
                <w:lang w:val="en-US" w:eastAsia="zh-CN"/>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both"/>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临河城区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3"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县域机构网点数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含非主城区的县级区、市，如：</w:t>
            </w:r>
            <w:r>
              <w:rPr>
                <w:rFonts w:hint="eastAsia" w:ascii="仿宋_GB2312" w:hAnsi="宋体" w:eastAsia="仿宋_GB2312" w:cs="宋体"/>
                <w:color w:val="000000"/>
                <w:kern w:val="0"/>
                <w:sz w:val="18"/>
                <w:szCs w:val="18"/>
                <w:lang w:eastAsia="zh-CN"/>
              </w:rPr>
              <w:t>五原县、乌拉特前旗、开发区</w:t>
            </w:r>
            <w:r>
              <w:rPr>
                <w:rFonts w:hint="eastAsia" w:ascii="仿宋_GB2312" w:hAnsi="宋体" w:eastAsia="仿宋_GB2312" w:cs="宋体"/>
                <w:color w:val="000000"/>
                <w:kern w:val="0"/>
                <w:sz w:val="18"/>
                <w:szCs w:val="18"/>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3"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highlight w:val="none"/>
              </w:rPr>
              <w:t>全</w:t>
            </w:r>
            <w:r>
              <w:rPr>
                <w:rFonts w:hint="eastAsia" w:ascii="仿宋_GB2312" w:hAnsi="宋体" w:eastAsia="仿宋_GB2312" w:cs="宋体"/>
                <w:color w:val="000000"/>
                <w:kern w:val="0"/>
                <w:szCs w:val="21"/>
                <w:highlight w:val="none"/>
                <w:lang w:eastAsia="zh-CN"/>
              </w:rPr>
              <w:t>市</w:t>
            </w:r>
            <w:r>
              <w:rPr>
                <w:rFonts w:hint="eastAsia" w:ascii="仿宋_GB2312" w:hAnsi="宋体" w:eastAsia="仿宋_GB2312" w:cs="宋体"/>
                <w:color w:val="000000"/>
                <w:kern w:val="0"/>
                <w:szCs w:val="21"/>
                <w:highlight w:val="none"/>
              </w:rPr>
              <w:t>覆盖机构的旗县个数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Cs w:val="21"/>
                <w:lang w:eastAsia="zh-CN"/>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highlight w:val="none"/>
              </w:rPr>
              <w:t>全</w:t>
            </w:r>
            <w:r>
              <w:rPr>
                <w:rFonts w:hint="eastAsia" w:ascii="仿宋_GB2312" w:hAnsi="宋体" w:eastAsia="仿宋_GB2312" w:cs="宋体"/>
                <w:color w:val="000000"/>
                <w:kern w:val="0"/>
                <w:szCs w:val="21"/>
                <w:highlight w:val="none"/>
                <w:lang w:eastAsia="zh-CN"/>
              </w:rPr>
              <w:t>市</w:t>
            </w:r>
            <w:r>
              <w:rPr>
                <w:rFonts w:hint="eastAsia" w:ascii="仿宋_GB2312" w:hAnsi="宋体" w:eastAsia="仿宋_GB2312" w:cs="宋体"/>
                <w:color w:val="000000"/>
                <w:kern w:val="0"/>
                <w:szCs w:val="21"/>
                <w:highlight w:val="none"/>
              </w:rPr>
              <w:t>县域机构覆盖率</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Cs w:val="21"/>
                <w:lang w:eastAsia="zh-CN"/>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设立机构的旗县数量</w:t>
            </w:r>
            <w:r>
              <w:rPr>
                <w:rFonts w:ascii="仿宋_GB2312" w:hAnsi="宋体" w:eastAsia="仿宋_GB2312" w:cs="宋体"/>
                <w:color w:val="000000"/>
                <w:kern w:val="0"/>
                <w:sz w:val="18"/>
              </w:rPr>
              <w:t>/全</w:t>
            </w:r>
            <w:r>
              <w:rPr>
                <w:rFonts w:hint="eastAsia" w:ascii="仿宋_GB2312" w:hAnsi="宋体" w:eastAsia="仿宋_GB2312" w:cs="宋体"/>
                <w:color w:val="000000"/>
                <w:kern w:val="0"/>
                <w:sz w:val="18"/>
                <w:lang w:eastAsia="zh-CN"/>
              </w:rPr>
              <w:t>市</w:t>
            </w:r>
            <w:r>
              <w:rPr>
                <w:rFonts w:ascii="仿宋_GB2312" w:hAnsi="宋体" w:eastAsia="仿宋_GB2312" w:cs="宋体"/>
                <w:color w:val="000000"/>
                <w:kern w:val="0"/>
                <w:sz w:val="18"/>
              </w:rPr>
              <w:t>旗县总数*100%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7"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申请业务属地网点数量</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如，申请</w:t>
            </w:r>
            <w:r>
              <w:rPr>
                <w:rFonts w:hint="eastAsia" w:ascii="仿宋_GB2312" w:hAnsi="宋体" w:eastAsia="仿宋_GB2312" w:cs="宋体"/>
                <w:color w:val="000000"/>
                <w:kern w:val="0"/>
                <w:sz w:val="18"/>
                <w:szCs w:val="18"/>
                <w:lang w:eastAsia="zh-CN"/>
              </w:rPr>
              <w:t>五原</w:t>
            </w:r>
            <w:r>
              <w:rPr>
                <w:rFonts w:hint="eastAsia" w:ascii="仿宋_GB2312" w:hAnsi="宋体" w:eastAsia="仿宋_GB2312" w:cs="宋体"/>
                <w:color w:val="000000"/>
                <w:kern w:val="0"/>
                <w:sz w:val="18"/>
                <w:szCs w:val="18"/>
              </w:rPr>
              <w:t>县集中支付业务，</w:t>
            </w:r>
            <w:r>
              <w:rPr>
                <w:rFonts w:hint="eastAsia" w:ascii="仿宋_GB2312" w:hAnsi="宋体" w:eastAsia="仿宋_GB2312" w:cs="宋体"/>
                <w:color w:val="000000"/>
                <w:kern w:val="0"/>
                <w:sz w:val="18"/>
                <w:szCs w:val="18"/>
                <w:lang w:eastAsia="zh-CN"/>
              </w:rPr>
              <w:t>五原</w:t>
            </w:r>
            <w:r>
              <w:rPr>
                <w:rFonts w:hint="eastAsia" w:ascii="仿宋_GB2312" w:hAnsi="宋体" w:eastAsia="仿宋_GB2312" w:cs="宋体"/>
                <w:color w:val="000000"/>
                <w:kern w:val="0"/>
                <w:sz w:val="18"/>
                <w:szCs w:val="18"/>
              </w:rPr>
              <w:t>县辖内机构网点数量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8" w:hRule="atLeast"/>
        </w:trPr>
        <w:tc>
          <w:tcPr>
            <w:tcW w:w="866" w:type="dxa"/>
            <w:vMerge w:val="continue"/>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p>
        </w:tc>
        <w:tc>
          <w:tcPr>
            <w:tcW w:w="1417"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申请业务属地机构网点从业人员数量</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如，申请</w:t>
            </w:r>
            <w:r>
              <w:rPr>
                <w:rFonts w:hint="eastAsia" w:ascii="仿宋_GB2312" w:hAnsi="宋体" w:eastAsia="仿宋_GB2312" w:cs="宋体"/>
                <w:color w:val="000000"/>
                <w:kern w:val="0"/>
                <w:sz w:val="18"/>
                <w:szCs w:val="18"/>
                <w:lang w:val="en-US" w:eastAsia="zh-CN"/>
              </w:rPr>
              <w:t>五原</w:t>
            </w:r>
            <w:r>
              <w:rPr>
                <w:rFonts w:hint="eastAsia" w:ascii="仿宋_GB2312" w:hAnsi="宋体" w:eastAsia="仿宋_GB2312" w:cs="宋体"/>
                <w:color w:val="000000"/>
                <w:kern w:val="0"/>
                <w:sz w:val="18"/>
                <w:szCs w:val="18"/>
              </w:rPr>
              <w:t>县集中支付业务，</w:t>
            </w:r>
            <w:r>
              <w:rPr>
                <w:rFonts w:hint="eastAsia" w:ascii="仿宋_GB2312" w:hAnsi="宋体" w:eastAsia="仿宋_GB2312" w:cs="宋体"/>
                <w:color w:val="000000"/>
                <w:kern w:val="0"/>
                <w:sz w:val="18"/>
                <w:szCs w:val="18"/>
                <w:lang w:val="en-US" w:eastAsia="zh-CN"/>
              </w:rPr>
              <w:t>五原</w:t>
            </w:r>
            <w:r>
              <w:rPr>
                <w:rFonts w:hint="eastAsia" w:ascii="仿宋_GB2312" w:hAnsi="宋体" w:eastAsia="仿宋_GB2312" w:cs="宋体"/>
                <w:color w:val="000000"/>
                <w:kern w:val="0"/>
                <w:sz w:val="18"/>
                <w:szCs w:val="18"/>
              </w:rPr>
              <w:t>县辖内机构网点业务正式人员数量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3" w:hRule="atLeast"/>
        </w:trPr>
        <w:tc>
          <w:tcPr>
            <w:tcW w:w="228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安全综合评价—央行金融机构评级结果</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提供法人</w:t>
            </w:r>
            <w:r>
              <w:rPr>
                <w:rFonts w:hint="eastAsia" w:ascii="仿宋_GB2312" w:hAnsi="宋体" w:eastAsia="仿宋_GB2312" w:cs="宋体"/>
                <w:color w:val="000000"/>
                <w:kern w:val="0"/>
                <w:szCs w:val="21"/>
                <w:lang w:val="en-US" w:eastAsia="zh-CN"/>
              </w:rPr>
              <w:t>或上级机构</w:t>
            </w:r>
            <w:r>
              <w:rPr>
                <w:rFonts w:hint="eastAsia" w:ascii="仿宋_GB2312" w:hAnsi="宋体" w:eastAsia="仿宋_GB2312" w:cs="宋体"/>
                <w:color w:val="000000"/>
                <w:kern w:val="0"/>
                <w:szCs w:val="21"/>
              </w:rPr>
              <w:t>评级结果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3" w:hRule="atLeast"/>
        </w:trPr>
        <w:tc>
          <w:tcPr>
            <w:tcW w:w="228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50万元以内（含）支付结算案件处罚次数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申请机构辖内数据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9" w:hRule="atLeast"/>
        </w:trPr>
        <w:tc>
          <w:tcPr>
            <w:tcW w:w="2283" w:type="dxa"/>
            <w:gridSpan w:val="2"/>
            <w:tcBorders>
              <w:top w:val="single" w:color="000000" w:sz="12" w:space="0"/>
              <w:left w:val="single" w:color="000000" w:sz="12" w:space="0"/>
              <w:bottom w:val="single" w:color="000000" w:sz="12" w:space="0"/>
              <w:right w:val="single" w:color="000000" w:sz="12" w:space="0"/>
            </w:tcBorders>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50万元以上（不含）支付结算案件处罚次数</w:t>
            </w: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1134"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ascii="仿宋_GB2312" w:hAnsi="宋体" w:eastAsia="仿宋_GB2312" w:cs="宋体"/>
                <w:color w:val="000000"/>
                <w:kern w:val="0"/>
                <w:szCs w:val="21"/>
              </w:rPr>
            </w:pPr>
          </w:p>
        </w:tc>
        <w:tc>
          <w:tcPr>
            <w:tcW w:w="3828" w:type="dxa"/>
            <w:tcBorders>
              <w:top w:val="single" w:color="000000" w:sz="12" w:space="0"/>
              <w:left w:val="single" w:color="000000" w:sz="12" w:space="0"/>
              <w:bottom w:val="single" w:color="000000" w:sz="12" w:space="0"/>
              <w:right w:val="single" w:color="000000" w:sz="12" w:space="0"/>
            </w:tcBorders>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申请机构辖内数据</w:t>
            </w:r>
          </w:p>
        </w:tc>
      </w:tr>
    </w:tbl>
    <w:p>
      <w:pPr>
        <w:widowControl/>
        <w:adjustRightInd w:val="0"/>
        <w:snapToGrid w:val="0"/>
        <w:spacing w:line="560" w:lineRule="exact"/>
        <w:rPr>
          <w:rFonts w:ascii="仿宋_GB2312" w:hAnsi="方正小标宋_GBK" w:eastAsia="仿宋_GB2312" w:cs="Times New Roman"/>
          <w:kern w:val="0"/>
          <w:sz w:val="24"/>
          <w:szCs w:val="24"/>
        </w:rPr>
      </w:pPr>
      <w:r>
        <w:rPr>
          <w:rFonts w:hint="eastAsia" w:ascii="仿宋_GB2312" w:hAnsi="方正小标宋_GBK" w:eastAsia="仿宋_GB2312" w:cs="Times New Roman"/>
          <w:kern w:val="0"/>
          <w:sz w:val="24"/>
          <w:szCs w:val="24"/>
        </w:rPr>
        <w:t>注:申请日前两个年度相关指标值,安全性、流动性、效益性指标统计口径为申请人数据，以人民币为准。</w:t>
      </w: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hint="eastAsia" w:ascii="仿宋_GB2312" w:hAnsi="方正小标宋_GBK" w:eastAsia="仿宋_GB2312" w:cs="Times New Roman"/>
          <w:kern w:val="0"/>
          <w:sz w:val="30"/>
          <w:szCs w:val="30"/>
        </w:rPr>
      </w:pPr>
    </w:p>
    <w:p>
      <w:pPr>
        <w:widowControl/>
        <w:adjustRightInd w:val="0"/>
        <w:snapToGrid w:val="0"/>
        <w:spacing w:line="560" w:lineRule="exact"/>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附录3</w:t>
      </w:r>
    </w:p>
    <w:p>
      <w:pPr>
        <w:widowControl/>
        <w:adjustRightInd w:val="0"/>
        <w:snapToGrid w:val="0"/>
        <w:spacing w:line="560" w:lineRule="exact"/>
        <w:jc w:val="center"/>
        <w:outlineLvl w:val="0"/>
        <w:rPr>
          <w:rFonts w:ascii="方正小标宋_GBK" w:hAnsi="方正小标宋_GBK" w:eastAsia="方正小标宋_GBK" w:cs="Times New Roman"/>
          <w:kern w:val="0"/>
          <w:sz w:val="36"/>
          <w:szCs w:val="36"/>
        </w:rPr>
      </w:pPr>
      <w:r>
        <w:rPr>
          <w:rFonts w:hint="eastAsia" w:ascii="方正小标宋_GBK" w:hAnsi="方正小标宋_GBK" w:eastAsia="方正小标宋_GBK" w:cs="Times New Roman"/>
          <w:kern w:val="0"/>
          <w:sz w:val="36"/>
          <w:szCs w:val="36"/>
        </w:rPr>
        <w:t>常见错误示例</w:t>
      </w:r>
    </w:p>
    <w:p>
      <w:pPr>
        <w:widowControl/>
        <w:adjustRightInd w:val="0"/>
        <w:snapToGrid w:val="0"/>
        <w:spacing w:line="560" w:lineRule="exact"/>
        <w:jc w:val="center"/>
        <w:rPr>
          <w:rFonts w:ascii="方正小标宋简体" w:hAnsi="方正小标宋_GBK" w:eastAsia="方正小标宋简体" w:cs="Times New Roman"/>
          <w:kern w:val="0"/>
          <w:sz w:val="36"/>
          <w:szCs w:val="36"/>
        </w:rPr>
      </w:pPr>
    </w:p>
    <w:p>
      <w:pPr>
        <w:widowControl/>
        <w:adjustRightInd w:val="0"/>
        <w:snapToGrid w:val="0"/>
        <w:spacing w:line="560" w:lineRule="exact"/>
        <w:ind w:firstLine="600"/>
        <w:rPr>
          <w:rFonts w:ascii="仿宋_GB2312" w:hAnsi="方正小标宋_GBK" w:eastAsia="仿宋_GB2312" w:cs="Times New Roman"/>
          <w:kern w:val="0"/>
          <w:sz w:val="30"/>
          <w:szCs w:val="30"/>
        </w:rPr>
      </w:pPr>
      <w:r>
        <w:rPr>
          <w:rFonts w:hint="eastAsia" w:ascii="仿宋_GB2312" w:hAnsi="方正小标宋_GBK" w:eastAsia="仿宋_GB2312" w:cs="Times New Roman"/>
          <w:b/>
          <w:kern w:val="0"/>
          <w:sz w:val="30"/>
          <w:szCs w:val="30"/>
        </w:rPr>
        <w:t>示例一、申请材料提供不齐全。</w:t>
      </w:r>
      <w:r>
        <w:rPr>
          <w:rFonts w:hint="eastAsia" w:ascii="仿宋_GB2312" w:hAnsi="方正小标宋_GBK" w:eastAsia="仿宋_GB2312" w:cs="Times New Roman"/>
          <w:kern w:val="0"/>
          <w:sz w:val="30"/>
          <w:szCs w:val="30"/>
        </w:rPr>
        <w:t>申请人应按照相关提供申请表，申请书，金融许可证和营业执照，申请机构法定代表人或主要负责人身份证明文件，央行金融机构评级结果，申请人境内资产负债表和利润表，金融监管部门、政府审计部门、会计事务所作出监管和审计报告，违法违规行为及案件查处说明，相关指标统计表，申请材料真实性声明，其他材料等。在实际工作中，申请人因工作疏忽或上级部门不给提供相关材料等原因，出现申请材料不齐全或申请材料关键信息要素不完整、错误等情况。</w:t>
      </w:r>
    </w:p>
    <w:p>
      <w:pPr>
        <w:widowControl/>
        <w:adjustRightInd w:val="0"/>
        <w:snapToGrid w:val="0"/>
        <w:spacing w:line="560" w:lineRule="exact"/>
        <w:ind w:firstLine="600"/>
        <w:rPr>
          <w:rFonts w:ascii="仿宋_GB2312" w:hAnsi="方正小标宋_GBK" w:eastAsia="仿宋_GB2312" w:cs="Times New Roman"/>
          <w:kern w:val="0"/>
          <w:sz w:val="30"/>
          <w:szCs w:val="30"/>
        </w:rPr>
      </w:pPr>
      <w:r>
        <w:rPr>
          <w:rFonts w:hint="eastAsia" w:ascii="仿宋_GB2312" w:hAnsi="方正小标宋_GBK" w:eastAsia="仿宋_GB2312" w:cs="Times New Roman"/>
          <w:b/>
          <w:kern w:val="0"/>
          <w:sz w:val="30"/>
          <w:szCs w:val="30"/>
        </w:rPr>
        <w:t>示例二、申请材料不加盖公章或只盖部门公章。</w:t>
      </w:r>
      <w:r>
        <w:rPr>
          <w:rFonts w:hint="eastAsia" w:ascii="仿宋_GB2312" w:hAnsi="方正小标宋_GBK" w:eastAsia="仿宋_GB2312" w:cs="Times New Roman"/>
          <w:kern w:val="0"/>
          <w:sz w:val="30"/>
          <w:szCs w:val="30"/>
        </w:rPr>
        <w:t>申请材料如为复印件，应当加盖单位公章。在实际工作中，申请人提交纸质申请材料复印件时，出现忘记加盖公章或者只盖部门公章的情况。</w:t>
      </w:r>
    </w:p>
    <w:p>
      <w:pPr>
        <w:widowControl/>
        <w:adjustRightInd w:val="0"/>
        <w:snapToGrid w:val="0"/>
        <w:spacing w:line="560" w:lineRule="exact"/>
        <w:ind w:firstLine="600"/>
        <w:rPr>
          <w:rFonts w:ascii="仿宋_GB2312" w:hAnsi="方正小标宋_GBK" w:eastAsia="仿宋_GB2312" w:cs="Times New Roman"/>
          <w:kern w:val="0"/>
          <w:sz w:val="30"/>
          <w:szCs w:val="30"/>
        </w:rPr>
      </w:pPr>
      <w:r>
        <w:rPr>
          <w:rFonts w:hint="eastAsia" w:ascii="仿宋_GB2312" w:hAnsi="方正小标宋_GBK" w:eastAsia="仿宋_GB2312" w:cs="Times New Roman"/>
          <w:b/>
          <w:kern w:val="0"/>
          <w:sz w:val="30"/>
          <w:szCs w:val="30"/>
        </w:rPr>
        <w:t>示例三、申请表填写不规范。</w:t>
      </w:r>
      <w:r>
        <w:rPr>
          <w:rFonts w:hint="eastAsia" w:ascii="仿宋_GB2312" w:hAnsi="方正小标宋_GBK" w:eastAsia="仿宋_GB2312" w:cs="Times New Roman"/>
          <w:kern w:val="0"/>
          <w:sz w:val="30"/>
          <w:szCs w:val="30"/>
        </w:rPr>
        <w:t>“国库集中收付代理银行资格认定申请表”填写时，个别申请人对“网点数”理解存在偏差，其中“政府非税收入收缴业务—网点数量”为申请机构下辖拟办理非税收入收缴业务的网点数量；“国库集中支付业务—对公业务网点数量”为申请机构下辖办理对公业务的网点数量。</w:t>
      </w:r>
    </w:p>
    <w:p>
      <w:pPr>
        <w:widowControl/>
        <w:adjustRightInd w:val="0"/>
        <w:snapToGrid w:val="0"/>
        <w:spacing w:line="560" w:lineRule="exact"/>
        <w:ind w:firstLine="600"/>
        <w:rPr>
          <w:rFonts w:ascii="仿宋_GB2312" w:hAnsi="黑体" w:eastAsia="仿宋_GB2312"/>
          <w:sz w:val="30"/>
          <w:szCs w:val="30"/>
        </w:rPr>
      </w:pPr>
      <w:r>
        <w:rPr>
          <w:rFonts w:hint="eastAsia" w:ascii="仿宋_GB2312" w:hAnsi="方正小标宋_GBK" w:eastAsia="仿宋_GB2312" w:cs="Times New Roman"/>
          <w:b/>
          <w:kern w:val="0"/>
          <w:sz w:val="30"/>
          <w:szCs w:val="30"/>
        </w:rPr>
        <w:t>示例四、申请书叙述不完整。</w:t>
      </w:r>
      <w:r>
        <w:rPr>
          <w:rFonts w:hint="eastAsia" w:ascii="仿宋_GB2312" w:hAnsi="方正小标宋_GBK" w:eastAsia="仿宋_GB2312" w:cs="Times New Roman"/>
          <w:kern w:val="0"/>
          <w:sz w:val="30"/>
          <w:szCs w:val="30"/>
        </w:rPr>
        <w:t>申请书内容包括但不限于下列内容：前十大股东控股情况（以认定通知落款日期为准）、机构设置、主管部门职责、人员配备、网点分布、内控管理建设、信息系统建设、资金汇划</w:t>
      </w:r>
      <w:r>
        <w:rPr>
          <w:rFonts w:hint="eastAsia" w:ascii="仿宋_GB2312" w:hAnsi="方正小标宋_GBK" w:eastAsia="仿宋_GB2312" w:cs="Times New Roman"/>
          <w:kern w:val="0"/>
          <w:sz w:val="30"/>
          <w:szCs w:val="30"/>
          <w:lang w:val="en-US" w:eastAsia="zh-CN"/>
        </w:rPr>
        <w:t>方式</w:t>
      </w:r>
      <w:r>
        <w:rPr>
          <w:rFonts w:hint="eastAsia" w:ascii="仿宋_GB2312" w:hAnsi="方正小标宋_GBK" w:eastAsia="仿宋_GB2312" w:cs="Times New Roman"/>
          <w:kern w:val="0"/>
          <w:sz w:val="30"/>
          <w:szCs w:val="30"/>
        </w:rPr>
        <w:t>渠道、国库集中收付业务管理办法和操作规程、</w:t>
      </w:r>
      <w:r>
        <w:rPr>
          <w:rFonts w:hint="eastAsia" w:ascii="仿宋_GB2312" w:hAnsi="黑体" w:eastAsia="仿宋_GB2312"/>
          <w:sz w:val="30"/>
          <w:szCs w:val="30"/>
        </w:rPr>
        <w:t>风险防范机制，根据国库集中收付业务需要制定的计算机硬件配置、软件开发和联网通讯方案等配套措施（含与财政预算管理一体化系统联网情况）、办理财税业务及代理国库业务情况、服务承诺等，申请人在申请书中往往漏写相关内容。</w:t>
      </w:r>
    </w:p>
    <w:p>
      <w:pPr>
        <w:widowControl/>
        <w:adjustRightInd w:val="0"/>
        <w:snapToGrid w:val="0"/>
        <w:spacing w:line="560" w:lineRule="exact"/>
        <w:ind w:firstLine="600"/>
        <w:rPr>
          <w:rFonts w:ascii="仿宋_GB2312" w:hAnsi="黑体" w:eastAsia="仿宋_GB2312"/>
          <w:sz w:val="30"/>
          <w:szCs w:val="30"/>
        </w:rPr>
      </w:pPr>
      <w:r>
        <w:rPr>
          <w:rFonts w:hint="eastAsia" w:ascii="仿宋_GB2312" w:hAnsi="黑体" w:eastAsia="仿宋_GB2312"/>
          <w:b/>
          <w:sz w:val="30"/>
          <w:szCs w:val="30"/>
        </w:rPr>
        <w:t>示例五、申请机构法定代表人或主要负责人与营业执照法定代表人不符</w:t>
      </w:r>
      <w:r>
        <w:rPr>
          <w:rFonts w:hint="eastAsia" w:ascii="仿宋_GB2312" w:hAnsi="黑体" w:eastAsia="仿宋_GB2312"/>
          <w:sz w:val="30"/>
          <w:szCs w:val="30"/>
        </w:rPr>
        <w:t>。因申请机构法定代表人或主要负责人调整或更换，而营业执照上法定代表人未及时更新，导致申请人提供法定代表人或主要负责人身份证明文件与营业执照上法定代表人信息不符时，申请人未提供现有法定代表人或主要负责人任职文件及相关说明。</w:t>
      </w: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ind w:firstLine="600"/>
        <w:rPr>
          <w:rFonts w:ascii="仿宋_GB2312" w:hAnsi="黑体" w:eastAsia="仿宋_GB2312"/>
          <w:sz w:val="30"/>
          <w:szCs w:val="30"/>
        </w:rPr>
      </w:pPr>
    </w:p>
    <w:p>
      <w:pPr>
        <w:widowControl/>
        <w:adjustRightInd w:val="0"/>
        <w:snapToGrid w:val="0"/>
        <w:spacing w:line="560" w:lineRule="exact"/>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附录4</w:t>
      </w:r>
    </w:p>
    <w:p>
      <w:pPr>
        <w:widowControl/>
        <w:adjustRightInd w:val="0"/>
        <w:snapToGrid w:val="0"/>
        <w:spacing w:line="560" w:lineRule="exact"/>
        <w:jc w:val="center"/>
        <w:outlineLvl w:val="0"/>
        <w:rPr>
          <w:rFonts w:ascii="方正小标宋_GBK" w:hAnsi="方正小标宋_GBK" w:eastAsia="方正小标宋_GBK" w:cs="Times New Roman"/>
          <w:kern w:val="0"/>
          <w:sz w:val="36"/>
          <w:szCs w:val="36"/>
        </w:rPr>
      </w:pPr>
      <w:r>
        <w:rPr>
          <w:rFonts w:hint="eastAsia" w:ascii="方正小标宋_GBK" w:hAnsi="方正小标宋_GBK" w:eastAsia="方正小标宋_GBK" w:cs="Times New Roman"/>
          <w:kern w:val="0"/>
          <w:sz w:val="36"/>
          <w:szCs w:val="36"/>
        </w:rPr>
        <w:t>常见问题解答</w:t>
      </w:r>
    </w:p>
    <w:p>
      <w:pPr>
        <w:widowControl/>
        <w:adjustRightInd w:val="0"/>
        <w:snapToGrid w:val="0"/>
        <w:spacing w:line="560" w:lineRule="exact"/>
        <w:ind w:firstLine="585"/>
        <w:rPr>
          <w:rFonts w:ascii="仿宋_GB2312" w:hAnsi="方正小标宋_GBK" w:eastAsia="仿宋_GB2312" w:cs="Times New Roman"/>
          <w:b/>
          <w:kern w:val="0"/>
          <w:sz w:val="30"/>
          <w:szCs w:val="30"/>
        </w:rPr>
      </w:pPr>
    </w:p>
    <w:p>
      <w:pPr>
        <w:widowControl/>
        <w:adjustRightInd w:val="0"/>
        <w:snapToGrid w:val="0"/>
        <w:spacing w:line="560" w:lineRule="exact"/>
        <w:ind w:firstLine="585"/>
        <w:outlineLvl w:val="0"/>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问题一、什么是国库集中收付代理银行资格认定？</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国库集中收付代理银行资格认定，是指中国人民银行受理商业银行的申请，经依法审查，核定其是否有参加国库集中收付代理银行招标活动的资格的行为。根据《中央财政国库集中收付代理银行资格认定管理暂行办法》（银发〔2012〕172号）、《关于明确地方国库集中收付代理银行资格认定有关事宜的通知》（银发〔2009〕385号）、《内蒙古自治区本级财政国库集中收付代理银行管理办法》（内财库〔2015〕2117号）等制度规定，财政部门应在获得人民银行国库集中收付代理银行资格认定的商业银行范围内，通过公开招投标方式选择确定国库集中支付代理银行，并与财政部门签订代理协议，与人民银行国库部门签订支付清算协议后方可代理集中支付业务，否则人民银行国库部门有权拒绝与其进行集中支付资金清算。</w:t>
      </w:r>
    </w:p>
    <w:p>
      <w:pPr>
        <w:widowControl/>
        <w:adjustRightInd w:val="0"/>
        <w:snapToGrid w:val="0"/>
        <w:spacing w:line="560" w:lineRule="exact"/>
        <w:ind w:firstLine="585"/>
        <w:outlineLvl w:val="0"/>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问题二、国库集中收付代理银行资格认定分为哪几类？</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答：按照业务种类，国库集中收付代理银行资格认定可分为国库集中支付代理银行资格认定和政府非税收入收缴代理银行资格认定等。</w:t>
      </w:r>
    </w:p>
    <w:p>
      <w:pPr>
        <w:widowControl/>
        <w:adjustRightInd w:val="0"/>
        <w:snapToGrid w:val="0"/>
        <w:spacing w:line="560" w:lineRule="exact"/>
        <w:ind w:firstLine="585"/>
        <w:outlineLvl w:val="0"/>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问题三：外资银行是否可以申请国库集中收付代理银行资格？</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参照《中央财政国库集中收付代理银行资格认定管理暂行办法》（银发〔2012〕172号），可以申请国库集中收付代理银行资格的银行金融机构包括国有商业银行、股份制商业银行、城市商业银行、农村商业银行、农村信用合作社及其他地方法人机构等，不包括外资银行，所以目前外资银行无法取得国库集中收付代理银行资格。</w:t>
      </w:r>
    </w:p>
    <w:p>
      <w:pPr>
        <w:widowControl/>
        <w:adjustRightInd w:val="0"/>
        <w:snapToGrid w:val="0"/>
        <w:spacing w:line="560" w:lineRule="exact"/>
        <w:ind w:firstLine="585"/>
        <w:outlineLvl w:val="0"/>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问题四、申请人未经办过国库集中收付业务，是否可以申请代理？</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答：可以。</w:t>
      </w:r>
    </w:p>
    <w:p>
      <w:pPr>
        <w:widowControl/>
        <w:adjustRightInd w:val="0"/>
        <w:snapToGrid w:val="0"/>
        <w:spacing w:line="560" w:lineRule="exact"/>
        <w:ind w:firstLine="585"/>
        <w:outlineLvl w:val="0"/>
        <w:rPr>
          <w:rFonts w:ascii="仿宋_GB2312" w:hAnsi="方正小标宋_GBK" w:eastAsia="仿宋_GB2312" w:cs="Times New Roman"/>
          <w:b/>
          <w:kern w:val="0"/>
          <w:sz w:val="30"/>
          <w:szCs w:val="30"/>
        </w:rPr>
      </w:pPr>
      <w:r>
        <w:rPr>
          <w:rFonts w:hint="eastAsia" w:ascii="仿宋_GB2312" w:hAnsi="方正小标宋_GBK" w:eastAsia="仿宋_GB2312" w:cs="Times New Roman"/>
          <w:b/>
          <w:kern w:val="0"/>
          <w:sz w:val="30"/>
          <w:szCs w:val="30"/>
        </w:rPr>
        <w:t>问题五、申请人提交申请材料不齐全或有误的怎么办？</w:t>
      </w:r>
    </w:p>
    <w:p>
      <w:pPr>
        <w:widowControl/>
        <w:adjustRightInd w:val="0"/>
        <w:snapToGrid w:val="0"/>
        <w:spacing w:line="560" w:lineRule="exact"/>
        <w:ind w:firstLine="585"/>
        <w:rPr>
          <w:rFonts w:ascii="仿宋_GB2312" w:hAnsi="方正小标宋_GBK" w:eastAsia="仿宋_GB2312" w:cs="Times New Roman"/>
          <w:kern w:val="0"/>
          <w:sz w:val="30"/>
          <w:szCs w:val="30"/>
        </w:rPr>
      </w:pPr>
      <w:r>
        <w:rPr>
          <w:rFonts w:hint="eastAsia" w:ascii="仿宋_GB2312" w:hAnsi="方正小标宋_GBK" w:eastAsia="仿宋_GB2312" w:cs="Times New Roman"/>
          <w:kern w:val="0"/>
          <w:sz w:val="30"/>
          <w:szCs w:val="30"/>
        </w:rPr>
        <w:t>答：申请材料不齐全或者不符合法定形式的，</w:t>
      </w:r>
      <w:r>
        <w:rPr>
          <w:rFonts w:hint="eastAsia" w:ascii="仿宋_GB2312" w:hAnsi="方正小标宋_GBK" w:eastAsia="仿宋_GB2312" w:cs="Times New Roman"/>
          <w:kern w:val="0"/>
          <w:sz w:val="30"/>
          <w:szCs w:val="30"/>
          <w:lang w:val="en-US" w:eastAsia="zh-CN"/>
        </w:rPr>
        <w:t>受理机构</w:t>
      </w:r>
      <w:r>
        <w:rPr>
          <w:rFonts w:hint="eastAsia" w:ascii="仿宋_GB2312" w:hAnsi="方正小标宋_GBK" w:eastAsia="仿宋_GB2312" w:cs="Times New Roman"/>
          <w:kern w:val="0"/>
          <w:sz w:val="30"/>
          <w:szCs w:val="30"/>
        </w:rPr>
        <w:t>应允许当场修改，或者在5个工作日内一次告知申请人需要补正的全部内容。逾期不告知的，自收到申请材料之日起即为受理。</w:t>
      </w:r>
    </w:p>
    <w:p>
      <w:pPr>
        <w:widowControl/>
        <w:adjustRightInd w:val="0"/>
        <w:snapToGrid w:val="0"/>
        <w:spacing w:line="560" w:lineRule="exact"/>
        <w:ind w:firstLine="585"/>
        <w:rPr>
          <w:rFonts w:ascii="仿宋_GB2312" w:hAnsi="方正小标宋_GBK" w:eastAsia="仿宋_GB2312" w:cs="Times New Roman"/>
          <w:kern w:val="0"/>
          <w:sz w:val="30"/>
          <w:szCs w:val="30"/>
        </w:rPr>
      </w:pPr>
    </w:p>
    <w:p>
      <w:pPr>
        <w:spacing w:line="225" w:lineRule="auto"/>
        <w:ind w:left="38"/>
        <w:rPr>
          <w:rFonts w:ascii="仿宋" w:hAnsi="仿宋" w:eastAsia="仿宋" w:cs="仿宋"/>
          <w:sz w:val="31"/>
          <w:szCs w:val="31"/>
        </w:rPr>
      </w:pPr>
    </w:p>
    <w:sectPr>
      <w:headerReference r:id="rId7" w:type="default"/>
      <w:footerReference r:id="rId8" w:type="default"/>
      <w:pgSz w:w="11905" w:h="16840"/>
      <w:pgMar w:top="1440" w:right="1803" w:bottom="1440" w:left="1803" w:header="850" w:footer="992" w:gutter="0"/>
      <w:pgNumType w:fmt="decimal"/>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tabs>
        <w:tab w:val="center" w:pos="4171"/>
        <w:tab w:val="clear" w:pos="4153"/>
      </w:tabs>
    </w:pPr>
    <w:ins w:id="0" w:author="樊蓉悦" w:date="2025-07-09T16:10:00Z">
      <w:r>
        <w:rPr>
          <w:rFonts w:ascii="Arial" w:hAnsi="Arial" w:eastAsia="Arial" w:cs="Arial"/>
          <w:snapToGrid w:val="0"/>
          <w:color w:val="000000"/>
          <w:kern w:val="0"/>
          <w:sz w:val="18"/>
          <w:szCs w:val="21"/>
          <w:lang w:val="en-US" w:eastAsia="en-US" w:bidi="ar-SA"/>
        </w:rPr>
        <w:pict>
          <v:shape id="文本框 76" o:spid="_x0000_s1025"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w:r>
    </w:ins>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ins w:id="2" w:author="樊蓉悦" w:date="2025-07-09T16:10:00Z">
      <w:r>
        <w:rPr>
          <w:rFonts w:ascii="Arial" w:hAnsi="Arial" w:eastAsia="Arial" w:cs="Arial"/>
          <w:snapToGrid w:val="0"/>
          <w:color w:val="000000"/>
          <w:kern w:val="0"/>
          <w:sz w:val="18"/>
          <w:szCs w:val="21"/>
          <w:lang w:val="en-US" w:eastAsia="en-US" w:bidi="ar-SA"/>
        </w:rPr>
        <w:pict>
          <v:shape id="文本框 77" o:spid="_x0000_s1026"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67" w:lineRule="auto"/>
      <w:ind w:left="4264"/>
      <w:rPr>
        <w:rFonts w:hint="eastAsia" w:ascii="Calibri" w:hAnsi="Calibri" w:eastAsia="宋体" w:cs="Calibri"/>
        <w:sz w:val="18"/>
        <w:szCs w:val="18"/>
        <w:lang w:eastAsia="zh-CN"/>
      </w:rPr>
    </w:pPr>
    <w:r>
      <w:rPr>
        <w:rFonts w:ascii="Arial" w:hAnsi="Arial" w:eastAsia="Arial" w:cs="Arial"/>
        <w:snapToGrid w:val="0"/>
        <w:color w:val="000000"/>
        <w:kern w:val="0"/>
        <w:sz w:val="18"/>
        <w:szCs w:val="21"/>
        <w:lang w:val="en-US" w:eastAsia="en-US" w:bidi="ar-SA"/>
      </w:rPr>
      <w:pict>
        <v:shape id="文本框 72" o:spid="_x0000_s1027"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18</w:t>
                </w:r>
                <w:r>
                  <w:rPr>
                    <w:rFonts w:hint="eastAsia" w:eastAsia="宋体"/>
                    <w:sz w:val="18"/>
                    <w:lang w:eastAsia="zh-CN"/>
                  </w:rPr>
                  <w:fldChar w:fldCharType="end"/>
                </w:r>
              </w:p>
            </w:txbxContent>
          </v:textbox>
        </v:shape>
      </w:pict>
    </w:r>
    <w:del w:id="4" w:author="樊蓉悦" w:date="2025-07-09T16:10:00Z">
      <w:r>
        <w:rPr>
          <w:rFonts w:ascii="Calibri" w:hAnsi="Calibri" w:eastAsia="Calibri" w:cs="Calibri"/>
          <w:spacing w:val="-3"/>
          <w:sz w:val="18"/>
          <w:szCs w:val="18"/>
        </w:rPr>
        <w:delText>2</w:delText>
      </w:r>
    </w:del>
    <w:del w:id="5" w:author="樊蓉悦" w:date="2025-07-09T16:10:00Z">
      <w:r>
        <w:rPr>
          <w:rFonts w:hint="eastAsia" w:ascii="Calibri" w:hAnsi="Calibri" w:eastAsia="宋体" w:cs="Calibri"/>
          <w:spacing w:val="-3"/>
          <w:sz w:val="18"/>
          <w:szCs w:val="18"/>
          <w:lang w:val="en-US" w:eastAsia="zh-CN"/>
        </w:rPr>
        <w:delText>8</w:delText>
      </w:r>
    </w:del>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03581305">
    <w:nsid w:val="658A9679"/>
    <w:multiLevelType w:val="singleLevel"/>
    <w:tmpl w:val="658A9679"/>
    <w:lvl w:ilvl="0" w:tentative="1">
      <w:start w:val="1"/>
      <w:numFmt w:val="chineseCounting"/>
      <w:suff w:val="nothing"/>
      <w:lvlText w:val="%1、"/>
      <w:lvlJc w:val="left"/>
    </w:lvl>
  </w:abstractNum>
  <w:abstractNum w:abstractNumId="3237498298">
    <w:nsid w:val="C0F84DBA"/>
    <w:multiLevelType w:val="singleLevel"/>
    <w:tmpl w:val="C0F84DBA"/>
    <w:lvl w:ilvl="0" w:tentative="1">
      <w:start w:val="1"/>
      <w:numFmt w:val="chineseCounting"/>
      <w:suff w:val="nothing"/>
      <w:lvlText w:val="（%1）"/>
      <w:lvlJc w:val="left"/>
      <w:rPr>
        <w:rFonts w:hint="eastAsia"/>
      </w:rPr>
    </w:lvl>
  </w:abstractNum>
  <w:abstractNum w:abstractNumId="1703581332">
    <w:nsid w:val="658A9694"/>
    <w:multiLevelType w:val="singleLevel"/>
    <w:tmpl w:val="658A9694"/>
    <w:lvl w:ilvl="0" w:tentative="1">
      <w:start w:val="3"/>
      <w:numFmt w:val="chineseCounting"/>
      <w:suff w:val="nothing"/>
      <w:lvlText w:val="%1、"/>
      <w:lvlJc w:val="left"/>
    </w:lvl>
  </w:abstractNum>
  <w:abstractNum w:abstractNumId="1738096150">
    <w:nsid w:val="67993E16"/>
    <w:multiLevelType w:val="singleLevel"/>
    <w:tmpl w:val="67993E16"/>
    <w:lvl w:ilvl="0" w:tentative="1">
      <w:start w:val="3"/>
      <w:numFmt w:val="decimal"/>
      <w:suff w:val="nothing"/>
      <w:lvlText w:val="%1、"/>
      <w:lvlJc w:val="left"/>
    </w:lvl>
  </w:abstractNum>
  <w:abstractNum w:abstractNumId="505599508">
    <w:nsid w:val="1E22D614"/>
    <w:multiLevelType w:val="singleLevel"/>
    <w:tmpl w:val="1E22D614"/>
    <w:lvl w:ilvl="0" w:tentative="1">
      <w:start w:val="1"/>
      <w:numFmt w:val="chineseCounting"/>
      <w:suff w:val="nothing"/>
      <w:lvlText w:val="（%1）"/>
      <w:lvlJc w:val="left"/>
      <w:rPr>
        <w:rFonts w:hint="eastAsia"/>
      </w:rPr>
    </w:lvl>
  </w:abstractNum>
  <w:abstractNum w:abstractNumId="1065635852">
    <w:nsid w:val="3F84500C"/>
    <w:multiLevelType w:val="singleLevel"/>
    <w:tmpl w:val="3F84500C"/>
    <w:lvl w:ilvl="0" w:tentative="1">
      <w:start w:val="2"/>
      <w:numFmt w:val="chineseCounting"/>
      <w:suff w:val="nothing"/>
      <w:lvlText w:val="（%1）"/>
      <w:lvlJc w:val="left"/>
      <w:rPr>
        <w:rFonts w:hint="eastAsia"/>
      </w:rPr>
    </w:lvl>
  </w:abstractNum>
  <w:num w:numId="1">
    <w:abstractNumId w:val="1703581305"/>
  </w:num>
  <w:num w:numId="2">
    <w:abstractNumId w:val="1703581332"/>
  </w:num>
  <w:num w:numId="3">
    <w:abstractNumId w:val="1065635852"/>
  </w:num>
  <w:num w:numId="4">
    <w:abstractNumId w:val="1738096150"/>
  </w:num>
  <w:num w:numId="5">
    <w:abstractNumId w:val="3237498298"/>
  </w:num>
  <w:num w:numId="6">
    <w:abstractNumId w:val="5055995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val="1"/>
  <w:bordersDoNotSurroundHeader w:val="1"/>
  <w:bordersDoNotSurroundFooter w:val="1"/>
  <w:trackRevisions w:val="1"/>
  <w:documentProtection w:enforcement="0"/>
  <w:defaultTabStop w:val="420"/>
  <w:drawingGridHorizontalSpacing w:val="210"/>
  <w:drawingGridVerticalSpacing w:val="159"/>
  <w:displayHorizontalDrawingGridEvery w:val="1"/>
  <w:displayVerticalDrawingGridEvery w:val="2"/>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5B28F1"/>
    <w:rsid w:val="00D6769F"/>
    <w:rsid w:val="018A61D9"/>
    <w:rsid w:val="01E51320"/>
    <w:rsid w:val="028031BF"/>
    <w:rsid w:val="029845E0"/>
    <w:rsid w:val="02C816BC"/>
    <w:rsid w:val="03717707"/>
    <w:rsid w:val="03C8110C"/>
    <w:rsid w:val="03F451A7"/>
    <w:rsid w:val="045B5EA0"/>
    <w:rsid w:val="04605F1A"/>
    <w:rsid w:val="046244E8"/>
    <w:rsid w:val="046E18E4"/>
    <w:rsid w:val="04767505"/>
    <w:rsid w:val="051B03C4"/>
    <w:rsid w:val="056450C8"/>
    <w:rsid w:val="059F7B87"/>
    <w:rsid w:val="05E41E1D"/>
    <w:rsid w:val="05F06AB5"/>
    <w:rsid w:val="06F05861"/>
    <w:rsid w:val="07C42E6E"/>
    <w:rsid w:val="07F31046"/>
    <w:rsid w:val="080100FA"/>
    <w:rsid w:val="08215E32"/>
    <w:rsid w:val="08436DB5"/>
    <w:rsid w:val="08845702"/>
    <w:rsid w:val="08E34CB6"/>
    <w:rsid w:val="093767C8"/>
    <w:rsid w:val="096D223A"/>
    <w:rsid w:val="09AD18B7"/>
    <w:rsid w:val="09BE2105"/>
    <w:rsid w:val="09E22B86"/>
    <w:rsid w:val="0A274E77"/>
    <w:rsid w:val="0A7C69E9"/>
    <w:rsid w:val="0AEA304A"/>
    <w:rsid w:val="0AFA5966"/>
    <w:rsid w:val="0B0341EE"/>
    <w:rsid w:val="0B4B3CB5"/>
    <w:rsid w:val="0B551A96"/>
    <w:rsid w:val="0C006D08"/>
    <w:rsid w:val="0C0B2E0D"/>
    <w:rsid w:val="0C220AE6"/>
    <w:rsid w:val="0C5819D6"/>
    <w:rsid w:val="0C715601"/>
    <w:rsid w:val="0C7B5C42"/>
    <w:rsid w:val="0C7E2BC9"/>
    <w:rsid w:val="0C8F663A"/>
    <w:rsid w:val="0CBF35BE"/>
    <w:rsid w:val="0CC004AA"/>
    <w:rsid w:val="0D054014"/>
    <w:rsid w:val="0D3B2342"/>
    <w:rsid w:val="0D6E490D"/>
    <w:rsid w:val="0D702EFA"/>
    <w:rsid w:val="0D863F99"/>
    <w:rsid w:val="0DCD3A59"/>
    <w:rsid w:val="0E113F71"/>
    <w:rsid w:val="0E2D248B"/>
    <w:rsid w:val="0F1628FF"/>
    <w:rsid w:val="0F246449"/>
    <w:rsid w:val="0FEB19F9"/>
    <w:rsid w:val="105E556E"/>
    <w:rsid w:val="106A132E"/>
    <w:rsid w:val="10B52645"/>
    <w:rsid w:val="11730890"/>
    <w:rsid w:val="1173700C"/>
    <w:rsid w:val="119E6ECC"/>
    <w:rsid w:val="11A550C6"/>
    <w:rsid w:val="11B66793"/>
    <w:rsid w:val="11DC4CF2"/>
    <w:rsid w:val="12000914"/>
    <w:rsid w:val="12073078"/>
    <w:rsid w:val="12464C20"/>
    <w:rsid w:val="126A3F0F"/>
    <w:rsid w:val="12DC2D26"/>
    <w:rsid w:val="12F63A69"/>
    <w:rsid w:val="131F4A98"/>
    <w:rsid w:val="135C66B4"/>
    <w:rsid w:val="13BA6174"/>
    <w:rsid w:val="13CE40E6"/>
    <w:rsid w:val="13DD6FD6"/>
    <w:rsid w:val="1413386B"/>
    <w:rsid w:val="14A95E2B"/>
    <w:rsid w:val="14D675EE"/>
    <w:rsid w:val="15112099"/>
    <w:rsid w:val="152378F0"/>
    <w:rsid w:val="15B43B12"/>
    <w:rsid w:val="15D07E45"/>
    <w:rsid w:val="15FF6593"/>
    <w:rsid w:val="165C2B78"/>
    <w:rsid w:val="169048A3"/>
    <w:rsid w:val="17D224EE"/>
    <w:rsid w:val="17E13F9D"/>
    <w:rsid w:val="181313F3"/>
    <w:rsid w:val="181E629A"/>
    <w:rsid w:val="184C38DB"/>
    <w:rsid w:val="18B07EE5"/>
    <w:rsid w:val="18B7621D"/>
    <w:rsid w:val="190C73D9"/>
    <w:rsid w:val="19EE0396"/>
    <w:rsid w:val="19FB2E0E"/>
    <w:rsid w:val="1A916215"/>
    <w:rsid w:val="1AFF052B"/>
    <w:rsid w:val="1B005C15"/>
    <w:rsid w:val="1BB0586A"/>
    <w:rsid w:val="1BB61B88"/>
    <w:rsid w:val="1C0B3696"/>
    <w:rsid w:val="1D4A20FF"/>
    <w:rsid w:val="1D837761"/>
    <w:rsid w:val="1DA06DB4"/>
    <w:rsid w:val="1DB23BA3"/>
    <w:rsid w:val="1E7D0C11"/>
    <w:rsid w:val="1EBC3882"/>
    <w:rsid w:val="1F7D76EF"/>
    <w:rsid w:val="1FB15B39"/>
    <w:rsid w:val="1FBF35D6"/>
    <w:rsid w:val="1FD23142"/>
    <w:rsid w:val="1FDE7C81"/>
    <w:rsid w:val="20100F79"/>
    <w:rsid w:val="20307F45"/>
    <w:rsid w:val="2064658A"/>
    <w:rsid w:val="209C7F8A"/>
    <w:rsid w:val="20CB5883"/>
    <w:rsid w:val="20CE2609"/>
    <w:rsid w:val="20D01FF9"/>
    <w:rsid w:val="20ED05A5"/>
    <w:rsid w:val="20EF168F"/>
    <w:rsid w:val="20F44E3E"/>
    <w:rsid w:val="21981C60"/>
    <w:rsid w:val="227778E2"/>
    <w:rsid w:val="227A19D7"/>
    <w:rsid w:val="23265289"/>
    <w:rsid w:val="23305C39"/>
    <w:rsid w:val="236F7D59"/>
    <w:rsid w:val="239D2DE5"/>
    <w:rsid w:val="243F2284"/>
    <w:rsid w:val="24411B8A"/>
    <w:rsid w:val="244C4E9D"/>
    <w:rsid w:val="246B6EDF"/>
    <w:rsid w:val="248515DB"/>
    <w:rsid w:val="24A26003"/>
    <w:rsid w:val="24A733B1"/>
    <w:rsid w:val="251E7631"/>
    <w:rsid w:val="255219E8"/>
    <w:rsid w:val="256F4DAC"/>
    <w:rsid w:val="25EF79EF"/>
    <w:rsid w:val="2629673D"/>
    <w:rsid w:val="2630708C"/>
    <w:rsid w:val="26E91CB6"/>
    <w:rsid w:val="2794099A"/>
    <w:rsid w:val="27AF368F"/>
    <w:rsid w:val="27F02048"/>
    <w:rsid w:val="28310627"/>
    <w:rsid w:val="28D44E86"/>
    <w:rsid w:val="28F11E95"/>
    <w:rsid w:val="28F96AE7"/>
    <w:rsid w:val="291014E4"/>
    <w:rsid w:val="29AC025C"/>
    <w:rsid w:val="2A147F42"/>
    <w:rsid w:val="2A234F5E"/>
    <w:rsid w:val="2AF16656"/>
    <w:rsid w:val="2AFD6045"/>
    <w:rsid w:val="2B0B0F7B"/>
    <w:rsid w:val="2B135739"/>
    <w:rsid w:val="2B154E09"/>
    <w:rsid w:val="2B2029F7"/>
    <w:rsid w:val="2B5B1D02"/>
    <w:rsid w:val="2BAB3DFA"/>
    <w:rsid w:val="2BC61189"/>
    <w:rsid w:val="2BDD5720"/>
    <w:rsid w:val="2C0133A9"/>
    <w:rsid w:val="2C462D15"/>
    <w:rsid w:val="2D051617"/>
    <w:rsid w:val="2D297F67"/>
    <w:rsid w:val="2D3329E6"/>
    <w:rsid w:val="2D3C6C62"/>
    <w:rsid w:val="2D6B5D71"/>
    <w:rsid w:val="2D8F664A"/>
    <w:rsid w:val="2E100BF7"/>
    <w:rsid w:val="2E3741B3"/>
    <w:rsid w:val="2ED26ADD"/>
    <w:rsid w:val="2F4F2524"/>
    <w:rsid w:val="2F594197"/>
    <w:rsid w:val="30514E28"/>
    <w:rsid w:val="307B0484"/>
    <w:rsid w:val="309F4D4C"/>
    <w:rsid w:val="30B657AD"/>
    <w:rsid w:val="30EA4EF9"/>
    <w:rsid w:val="310D301C"/>
    <w:rsid w:val="313F1FAD"/>
    <w:rsid w:val="317E44A5"/>
    <w:rsid w:val="31996330"/>
    <w:rsid w:val="31C2090C"/>
    <w:rsid w:val="31F26164"/>
    <w:rsid w:val="325E7E39"/>
    <w:rsid w:val="326E7592"/>
    <w:rsid w:val="32C9074F"/>
    <w:rsid w:val="32E710FA"/>
    <w:rsid w:val="32FA4B6F"/>
    <w:rsid w:val="333D4E67"/>
    <w:rsid w:val="33453217"/>
    <w:rsid w:val="33EE357A"/>
    <w:rsid w:val="34D21C91"/>
    <w:rsid w:val="34DD673D"/>
    <w:rsid w:val="351A0BC0"/>
    <w:rsid w:val="35387775"/>
    <w:rsid w:val="35593F89"/>
    <w:rsid w:val="355F32FD"/>
    <w:rsid w:val="35B17F86"/>
    <w:rsid w:val="35DE052C"/>
    <w:rsid w:val="35E45FF8"/>
    <w:rsid w:val="36504BF4"/>
    <w:rsid w:val="367C4AED"/>
    <w:rsid w:val="36D4533B"/>
    <w:rsid w:val="36FD1707"/>
    <w:rsid w:val="374C52C9"/>
    <w:rsid w:val="38041138"/>
    <w:rsid w:val="38A81FAD"/>
    <w:rsid w:val="38B649BA"/>
    <w:rsid w:val="38B7502D"/>
    <w:rsid w:val="39053E8D"/>
    <w:rsid w:val="39103CF1"/>
    <w:rsid w:val="395C1A71"/>
    <w:rsid w:val="397B5C63"/>
    <w:rsid w:val="39CE0933"/>
    <w:rsid w:val="39E37409"/>
    <w:rsid w:val="39F053EE"/>
    <w:rsid w:val="3A05103A"/>
    <w:rsid w:val="3A4D2F3B"/>
    <w:rsid w:val="3A680018"/>
    <w:rsid w:val="3A835631"/>
    <w:rsid w:val="3AB17205"/>
    <w:rsid w:val="3AD77E74"/>
    <w:rsid w:val="3AE13306"/>
    <w:rsid w:val="3AE63442"/>
    <w:rsid w:val="3B1B25B6"/>
    <w:rsid w:val="3BAC6331"/>
    <w:rsid w:val="3BBC5019"/>
    <w:rsid w:val="3CB24A2B"/>
    <w:rsid w:val="3D2647A4"/>
    <w:rsid w:val="3D3C5504"/>
    <w:rsid w:val="3D49792C"/>
    <w:rsid w:val="3DA82C8A"/>
    <w:rsid w:val="3E116836"/>
    <w:rsid w:val="3E361538"/>
    <w:rsid w:val="3E38318E"/>
    <w:rsid w:val="3E3A4372"/>
    <w:rsid w:val="3E771D66"/>
    <w:rsid w:val="3F3275C9"/>
    <w:rsid w:val="3F3A4349"/>
    <w:rsid w:val="3F701B59"/>
    <w:rsid w:val="3FA4539C"/>
    <w:rsid w:val="3FCD32B4"/>
    <w:rsid w:val="3FD96D70"/>
    <w:rsid w:val="40282D0A"/>
    <w:rsid w:val="403E1448"/>
    <w:rsid w:val="404E4241"/>
    <w:rsid w:val="407660EF"/>
    <w:rsid w:val="40BA468C"/>
    <w:rsid w:val="40C62FE5"/>
    <w:rsid w:val="413B3A1C"/>
    <w:rsid w:val="41432C24"/>
    <w:rsid w:val="414C4D04"/>
    <w:rsid w:val="414E079B"/>
    <w:rsid w:val="416C0234"/>
    <w:rsid w:val="41700030"/>
    <w:rsid w:val="417A7A3C"/>
    <w:rsid w:val="425B231C"/>
    <w:rsid w:val="427402A9"/>
    <w:rsid w:val="42BF5162"/>
    <w:rsid w:val="44272DCE"/>
    <w:rsid w:val="44461A60"/>
    <w:rsid w:val="44C354D7"/>
    <w:rsid w:val="45063069"/>
    <w:rsid w:val="457369A8"/>
    <w:rsid w:val="45B76570"/>
    <w:rsid w:val="461A5185"/>
    <w:rsid w:val="468F2CC6"/>
    <w:rsid w:val="469057A3"/>
    <w:rsid w:val="470545A7"/>
    <w:rsid w:val="472E6D43"/>
    <w:rsid w:val="476E7837"/>
    <w:rsid w:val="47860127"/>
    <w:rsid w:val="47910898"/>
    <w:rsid w:val="479A0D05"/>
    <w:rsid w:val="485A4DEB"/>
    <w:rsid w:val="489A6B68"/>
    <w:rsid w:val="48FB35A9"/>
    <w:rsid w:val="492D2E68"/>
    <w:rsid w:val="492F5D4E"/>
    <w:rsid w:val="4A8130F3"/>
    <w:rsid w:val="4AF1515D"/>
    <w:rsid w:val="4B001EEF"/>
    <w:rsid w:val="4B012CEC"/>
    <w:rsid w:val="4B851CE0"/>
    <w:rsid w:val="4BA73BFE"/>
    <w:rsid w:val="4BF11A7E"/>
    <w:rsid w:val="4CAB2045"/>
    <w:rsid w:val="4CC67B95"/>
    <w:rsid w:val="4D740E3E"/>
    <w:rsid w:val="4DB90812"/>
    <w:rsid w:val="4DC1680A"/>
    <w:rsid w:val="4E1D54CC"/>
    <w:rsid w:val="4E3A7B8B"/>
    <w:rsid w:val="4E3C4EF5"/>
    <w:rsid w:val="4EA11576"/>
    <w:rsid w:val="4EFE0C98"/>
    <w:rsid w:val="4F2113A3"/>
    <w:rsid w:val="4F5C7E98"/>
    <w:rsid w:val="4FB55206"/>
    <w:rsid w:val="4FD36A79"/>
    <w:rsid w:val="502D3530"/>
    <w:rsid w:val="505F2D68"/>
    <w:rsid w:val="50C459DF"/>
    <w:rsid w:val="50FB73E5"/>
    <w:rsid w:val="5134524F"/>
    <w:rsid w:val="515A2A71"/>
    <w:rsid w:val="51EF06EE"/>
    <w:rsid w:val="52006679"/>
    <w:rsid w:val="52243CCE"/>
    <w:rsid w:val="52407B6C"/>
    <w:rsid w:val="52BB459B"/>
    <w:rsid w:val="52BE0300"/>
    <w:rsid w:val="52C24C64"/>
    <w:rsid w:val="52F72060"/>
    <w:rsid w:val="53115F7D"/>
    <w:rsid w:val="535B764F"/>
    <w:rsid w:val="53601A15"/>
    <w:rsid w:val="54150C8C"/>
    <w:rsid w:val="54472753"/>
    <w:rsid w:val="549B372E"/>
    <w:rsid w:val="54D1487B"/>
    <w:rsid w:val="557D6696"/>
    <w:rsid w:val="55D50B50"/>
    <w:rsid w:val="56370705"/>
    <w:rsid w:val="572F1A9A"/>
    <w:rsid w:val="57A73922"/>
    <w:rsid w:val="58101418"/>
    <w:rsid w:val="581407F7"/>
    <w:rsid w:val="59426988"/>
    <w:rsid w:val="599F37FC"/>
    <w:rsid w:val="59BE4A4F"/>
    <w:rsid w:val="59E61B72"/>
    <w:rsid w:val="59FA27CC"/>
    <w:rsid w:val="5AF8378E"/>
    <w:rsid w:val="5BCA3D3E"/>
    <w:rsid w:val="5BF24E6F"/>
    <w:rsid w:val="5C046E23"/>
    <w:rsid w:val="5C0654C8"/>
    <w:rsid w:val="5C140ACF"/>
    <w:rsid w:val="5C42189E"/>
    <w:rsid w:val="5C8058AE"/>
    <w:rsid w:val="5CCB2D66"/>
    <w:rsid w:val="5D2804F0"/>
    <w:rsid w:val="5D830C22"/>
    <w:rsid w:val="5D850674"/>
    <w:rsid w:val="5D911E5C"/>
    <w:rsid w:val="5DE06237"/>
    <w:rsid w:val="5E0C0D8D"/>
    <w:rsid w:val="5E156BC3"/>
    <w:rsid w:val="5E770BF0"/>
    <w:rsid w:val="5E854B1B"/>
    <w:rsid w:val="5EE77944"/>
    <w:rsid w:val="5F706491"/>
    <w:rsid w:val="5FA77351"/>
    <w:rsid w:val="5FC10858"/>
    <w:rsid w:val="600B0F0B"/>
    <w:rsid w:val="600C4C95"/>
    <w:rsid w:val="60216EFA"/>
    <w:rsid w:val="60830178"/>
    <w:rsid w:val="609236B6"/>
    <w:rsid w:val="61554CD5"/>
    <w:rsid w:val="61AB03D9"/>
    <w:rsid w:val="61AC446B"/>
    <w:rsid w:val="61AF3BC8"/>
    <w:rsid w:val="62572E2D"/>
    <w:rsid w:val="625D7D32"/>
    <w:rsid w:val="62AA53A4"/>
    <w:rsid w:val="62D76A39"/>
    <w:rsid w:val="634615BF"/>
    <w:rsid w:val="6385555E"/>
    <w:rsid w:val="63DE6BAC"/>
    <w:rsid w:val="641B3E81"/>
    <w:rsid w:val="64522CE7"/>
    <w:rsid w:val="646768C0"/>
    <w:rsid w:val="647A5833"/>
    <w:rsid w:val="6489152B"/>
    <w:rsid w:val="648C0755"/>
    <w:rsid w:val="652448EB"/>
    <w:rsid w:val="65321214"/>
    <w:rsid w:val="656D0FC2"/>
    <w:rsid w:val="65C6506C"/>
    <w:rsid w:val="65E22B23"/>
    <w:rsid w:val="661F40D2"/>
    <w:rsid w:val="66506174"/>
    <w:rsid w:val="668B6094"/>
    <w:rsid w:val="66AE5F05"/>
    <w:rsid w:val="670D314E"/>
    <w:rsid w:val="670F7BF7"/>
    <w:rsid w:val="67451861"/>
    <w:rsid w:val="674844DE"/>
    <w:rsid w:val="677669CB"/>
    <w:rsid w:val="67D23F4B"/>
    <w:rsid w:val="681351D7"/>
    <w:rsid w:val="6815091A"/>
    <w:rsid w:val="68390708"/>
    <w:rsid w:val="685457BC"/>
    <w:rsid w:val="686A1134"/>
    <w:rsid w:val="688E7A12"/>
    <w:rsid w:val="68B97E23"/>
    <w:rsid w:val="68BA019F"/>
    <w:rsid w:val="68DA7ED6"/>
    <w:rsid w:val="690F36B3"/>
    <w:rsid w:val="697A5D80"/>
    <w:rsid w:val="69B230DB"/>
    <w:rsid w:val="69DE3CD1"/>
    <w:rsid w:val="69FA45B6"/>
    <w:rsid w:val="6A393D66"/>
    <w:rsid w:val="6A7049F8"/>
    <w:rsid w:val="6A735255"/>
    <w:rsid w:val="6A986385"/>
    <w:rsid w:val="6AF50ECA"/>
    <w:rsid w:val="6B233E76"/>
    <w:rsid w:val="6B49046F"/>
    <w:rsid w:val="6B7C5A89"/>
    <w:rsid w:val="6B8D4C17"/>
    <w:rsid w:val="6BB33BC1"/>
    <w:rsid w:val="6C4F1C29"/>
    <w:rsid w:val="6C6E0C2A"/>
    <w:rsid w:val="6C7E6A5A"/>
    <w:rsid w:val="6D1F6253"/>
    <w:rsid w:val="6D7035ED"/>
    <w:rsid w:val="6E8D45CC"/>
    <w:rsid w:val="6ED308A6"/>
    <w:rsid w:val="6F067867"/>
    <w:rsid w:val="6F191F4F"/>
    <w:rsid w:val="6F251F2C"/>
    <w:rsid w:val="6F836D4F"/>
    <w:rsid w:val="703D02AE"/>
    <w:rsid w:val="707D06AD"/>
    <w:rsid w:val="70AB29E8"/>
    <w:rsid w:val="711F7154"/>
    <w:rsid w:val="71741929"/>
    <w:rsid w:val="7190618E"/>
    <w:rsid w:val="71FC49EC"/>
    <w:rsid w:val="72874255"/>
    <w:rsid w:val="72B12D87"/>
    <w:rsid w:val="736C0095"/>
    <w:rsid w:val="73DA0AFD"/>
    <w:rsid w:val="73E9428F"/>
    <w:rsid w:val="740774AC"/>
    <w:rsid w:val="74396CF6"/>
    <w:rsid w:val="74B15508"/>
    <w:rsid w:val="74C75CDE"/>
    <w:rsid w:val="74EF690B"/>
    <w:rsid w:val="755960E4"/>
    <w:rsid w:val="75AB0FF7"/>
    <w:rsid w:val="75C80D93"/>
    <w:rsid w:val="771A5964"/>
    <w:rsid w:val="774D32E7"/>
    <w:rsid w:val="77AC75DF"/>
    <w:rsid w:val="77C06D65"/>
    <w:rsid w:val="77DE3B20"/>
    <w:rsid w:val="78455F27"/>
    <w:rsid w:val="784E6F64"/>
    <w:rsid w:val="78707178"/>
    <w:rsid w:val="78814127"/>
    <w:rsid w:val="78E660A6"/>
    <w:rsid w:val="78FE33B0"/>
    <w:rsid w:val="79835014"/>
    <w:rsid w:val="7995381F"/>
    <w:rsid w:val="79F96258"/>
    <w:rsid w:val="7AB10261"/>
    <w:rsid w:val="7B2D01F9"/>
    <w:rsid w:val="7B5B0676"/>
    <w:rsid w:val="7B767168"/>
    <w:rsid w:val="7BA01AB8"/>
    <w:rsid w:val="7C0D2F95"/>
    <w:rsid w:val="7C461B5D"/>
    <w:rsid w:val="7CC26F81"/>
    <w:rsid w:val="7CF87F70"/>
    <w:rsid w:val="7D294BF2"/>
    <w:rsid w:val="7E084AA4"/>
    <w:rsid w:val="7E1D45E9"/>
    <w:rsid w:val="7E643D09"/>
    <w:rsid w:val="7E731BBA"/>
    <w:rsid w:val="7E8D3813"/>
    <w:rsid w:val="7EC74776"/>
    <w:rsid w:val="7EC7744E"/>
    <w:rsid w:val="7EE446C7"/>
    <w:rsid w:val="7F1E565C"/>
    <w:rsid w:val="7F466E0E"/>
    <w:rsid w:val="7F555FE7"/>
    <w:rsid w:val="7FC66A3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lang w:val="en-US" w:eastAsia="zh-CN" w:bidi="ar-SA"/>
      </w:rPr>
    </w:rPrDefault>
  </w:docDefaults>
  <w:latentStyles w:count="260" w:defQFormat="0" w:defUnhideWhenUsed="1" w:defSemiHidden="1" w:defUIPriority="99" w:defLockedState="0">
    <w:lsdException w:qFormat="1" w:unhideWhenUsed="0" w:uiPriority="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unhideWhenUsed/>
    <w:qFormat/>
    <w:uiPriority w:val="99"/>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qFormat/>
    <w:uiPriority w:val="0"/>
    <w:pPr>
      <w:widowControl/>
      <w:spacing w:before="100" w:beforeAutospacing="1" w:after="100" w:afterAutospacing="1"/>
      <w:jc w:val="left"/>
    </w:pPr>
    <w:rPr>
      <w:rFonts w:ascii="Times New Roman" w:hAnsi="Times New Roman" w:cs="Times New Roman"/>
      <w:kern w:val="0"/>
      <w:sz w:val="24"/>
      <w:szCs w:val="24"/>
    </w:r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paragraph" w:customStyle="1" w:styleId="9">
    <w:name w:val="p0"/>
    <w:basedOn w:val="1"/>
    <w:qFormat/>
    <w:uiPriority w:val="0"/>
    <w:pPr>
      <w:widowControl/>
      <w:adjustRightInd w:val="0"/>
      <w:snapToGrid w:val="0"/>
      <w:jc w:val="left"/>
    </w:pPr>
    <w:rPr>
      <w:rFonts w:ascii="Arial" w:hAnsi="Arial" w:cs="Arial"/>
      <w:color w:val="000000"/>
      <w:kern w:val="0"/>
      <w:szCs w:val="21"/>
    </w:rPr>
  </w:style>
  <w:style w:type="table" w:customStyle="1" w:styleId="10">
    <w:name w:val="Table Normal"/>
    <w:unhideWhenUsed/>
    <w:qFormat/>
    <w:uiPriority w:val="0"/>
    <w:tblPr>
      <w:tblStyle w:val="7"/>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2023-12-26T15:47:00Z</dcterms:created>
  <dc:creator>Kingsoft-PDF</dc:creator>
  <cp:lastModifiedBy>樊蓉悦</cp:lastModifiedBy>
  <cp:lastPrinted>2025-06-18T09:48:00Z</cp:lastPrinted>
  <dcterms:modified xsi:type="dcterms:W3CDTF">2025-07-09T08:26:00Z</dcterms:modified>
  <dc:subject>pdfbuilder</dc:subject>
  <dc:title>巴彦淖尔市国库集中收付代理银行资格认定 审批事项服务指南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2023-12-26T15:47:00Z</vt:filetime>
  </property>
  <property fmtid="{D5CDD505-2E9C-101B-9397-08002B2CF9AE}" pid="4" name="UsrData">
    <vt:lpwstr>658a84fc4d394d001fe0f75ewl</vt:lpwstr>
  </property>
  <property fmtid="{D5CDD505-2E9C-101B-9397-08002B2CF9AE}" pid="5" name="KSOProductBuildVer">
    <vt:lpwstr>2052-9.1.0.4797</vt:lpwstr>
  </property>
</Properties>
</file>